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宋体" w:hAnsi="宋体" w:cs="宋体"/>
          <w:color w:val="auto"/>
          <w:szCs w:val="21"/>
        </w:rPr>
      </w:pPr>
      <w:r>
        <w:rPr>
          <w:rFonts w:hint="eastAsia" w:ascii="宋体" w:hAnsi="宋体" w:cs="宋体"/>
          <w:color w:val="auto"/>
          <w:szCs w:val="21"/>
          <w:lang w:val="en-US" w:eastAsia="zh-CN"/>
        </w:rPr>
        <w:t>一、</w:t>
      </w:r>
      <w:r>
        <w:rPr>
          <w:rFonts w:hint="eastAsia" w:ascii="宋体" w:hAnsi="宋体" w:cs="宋体"/>
          <w:color w:val="auto"/>
          <w:szCs w:val="21"/>
        </w:rPr>
        <w:t>预算金额：</w:t>
      </w:r>
      <w:r>
        <w:rPr>
          <w:rFonts w:hint="eastAsia" w:ascii="宋体" w:hAnsi="宋体" w:cs="宋体"/>
          <w:color w:val="auto"/>
          <w:szCs w:val="21"/>
          <w:lang w:val="en-US" w:eastAsia="zh-CN"/>
        </w:rPr>
        <w:t>5.4万</w:t>
      </w:r>
      <w:r>
        <w:rPr>
          <w:rFonts w:hint="eastAsia" w:ascii="宋体" w:hAnsi="宋体" w:cs="宋体"/>
          <w:color w:val="auto"/>
          <w:szCs w:val="21"/>
        </w:rPr>
        <w:t>元。</w:t>
      </w:r>
    </w:p>
    <w:p>
      <w:pPr>
        <w:numPr>
          <w:ilvl w:val="0"/>
          <w:numId w:val="0"/>
        </w:numPr>
        <w:rPr>
          <w:rFonts w:hint="eastAsia"/>
          <w:color w:val="auto"/>
          <w:lang w:val="en-US" w:eastAsia="zh-CN"/>
        </w:rPr>
      </w:pPr>
    </w:p>
    <w:p>
      <w:pPr>
        <w:numPr>
          <w:ilvl w:val="0"/>
          <w:numId w:val="0"/>
        </w:num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二、采购需求</w:t>
      </w:r>
    </w:p>
    <w:p>
      <w:pPr>
        <w:spacing w:line="360" w:lineRule="auto"/>
        <w:ind w:firstLine="420"/>
        <w:rPr>
          <w:rFonts w:hint="eastAsia" w:ascii="宋体" w:hAnsi="宋体" w:eastAsia="宋体" w:cs="宋体"/>
          <w:color w:val="auto"/>
          <w:sz w:val="21"/>
          <w:szCs w:val="21"/>
          <w:lang w:val="en-US" w:eastAsia="zh-CN"/>
        </w:rPr>
      </w:pPr>
      <w:r>
        <w:rPr>
          <w:rFonts w:hint="eastAsia" w:ascii="宋体" w:hAnsi="宋体" w:eastAsia="宋体" w:cs="宋体"/>
          <w:sz w:val="21"/>
          <w:szCs w:val="21"/>
        </w:rPr>
        <w:t>为了提高甲方故障应急处理能力及维护水平，及时发现安全隐患、减少信息故障的发生、提高系统管理水平、确保机房工作环境正常</w:t>
      </w:r>
      <w:r>
        <w:rPr>
          <w:rFonts w:hint="eastAsia" w:ascii="宋体" w:hAnsi="宋体" w:eastAsia="宋体" w:cs="宋体"/>
          <w:sz w:val="21"/>
          <w:szCs w:val="21"/>
          <w:lang w:eastAsia="zh-CN"/>
        </w:rPr>
        <w:t>。</w:t>
      </w:r>
    </w:p>
    <w:tbl>
      <w:tblPr>
        <w:tblStyle w:val="5"/>
        <w:tblW w:w="10128" w:type="dxa"/>
        <w:tblInd w:w="-381" w:type="dxa"/>
        <w:tblLayout w:type="fixed"/>
        <w:tblCellMar>
          <w:top w:w="0" w:type="dxa"/>
          <w:left w:w="108" w:type="dxa"/>
          <w:bottom w:w="0" w:type="dxa"/>
          <w:right w:w="108" w:type="dxa"/>
        </w:tblCellMar>
      </w:tblPr>
      <w:tblGrid>
        <w:gridCol w:w="1693"/>
        <w:gridCol w:w="3049"/>
        <w:gridCol w:w="1276"/>
        <w:gridCol w:w="708"/>
        <w:gridCol w:w="1560"/>
        <w:gridCol w:w="1842"/>
      </w:tblGrid>
      <w:tr>
        <w:tblPrEx>
          <w:tblCellMar>
            <w:top w:w="0" w:type="dxa"/>
            <w:left w:w="108" w:type="dxa"/>
            <w:bottom w:w="0" w:type="dxa"/>
            <w:right w:w="108" w:type="dxa"/>
          </w:tblCellMar>
        </w:tblPrEx>
        <w:trPr>
          <w:trHeight w:val="329" w:hRule="atLeast"/>
        </w:trPr>
        <w:tc>
          <w:tcPr>
            <w:tcW w:w="169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304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服务名称</w:t>
            </w:r>
          </w:p>
        </w:tc>
        <w:tc>
          <w:tcPr>
            <w:tcW w:w="1276"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70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c>
          <w:tcPr>
            <w:tcW w:w="15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单价</w:t>
            </w:r>
          </w:p>
        </w:tc>
        <w:tc>
          <w:tcPr>
            <w:tcW w:w="18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总价</w:t>
            </w:r>
          </w:p>
        </w:tc>
      </w:tr>
      <w:tr>
        <w:tblPrEx>
          <w:tblCellMar>
            <w:top w:w="0" w:type="dxa"/>
            <w:left w:w="108" w:type="dxa"/>
            <w:bottom w:w="0" w:type="dxa"/>
            <w:right w:w="108" w:type="dxa"/>
          </w:tblCellMar>
        </w:tblPrEx>
        <w:trPr>
          <w:trHeight w:val="1358" w:hRule="atLeast"/>
        </w:trPr>
        <w:tc>
          <w:tcPr>
            <w:tcW w:w="169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1</w:t>
            </w:r>
          </w:p>
        </w:tc>
        <w:tc>
          <w:tcPr>
            <w:tcW w:w="3049" w:type="dxa"/>
            <w:tcBorders>
              <w:top w:val="nil"/>
              <w:left w:val="nil"/>
              <w:bottom w:val="single" w:color="auto" w:sz="4" w:space="0"/>
              <w:right w:val="single" w:color="auto" w:sz="4" w:space="0"/>
            </w:tcBorders>
            <w:noWrap w:val="0"/>
            <w:vAlign w:val="center"/>
          </w:tcPr>
          <w:p>
            <w:pPr>
              <w:rPr>
                <w:rFonts w:hint="eastAsia" w:ascii="宋体" w:hAnsi="宋体" w:eastAsia="宋体" w:cs="宋体"/>
                <w:b/>
                <w:bCs/>
                <w:kern w:val="0"/>
                <w:sz w:val="21"/>
                <w:szCs w:val="21"/>
              </w:rPr>
            </w:pPr>
            <w:r>
              <w:rPr>
                <w:rFonts w:hint="eastAsia" w:ascii="宋体" w:hAnsi="宋体" w:eastAsia="宋体" w:cs="宋体"/>
                <w:sz w:val="21"/>
                <w:szCs w:val="21"/>
              </w:rPr>
              <w:t>东寺街办公区网络机房运维服务</w:t>
            </w:r>
          </w:p>
        </w:tc>
        <w:tc>
          <w:tcPr>
            <w:tcW w:w="12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年</w:t>
            </w:r>
          </w:p>
        </w:tc>
        <w:tc>
          <w:tcPr>
            <w:tcW w:w="708"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1</w:t>
            </w:r>
          </w:p>
        </w:tc>
        <w:tc>
          <w:tcPr>
            <w:tcW w:w="1560"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b/>
                <w:bCs/>
                <w:kern w:val="0"/>
                <w:sz w:val="21"/>
                <w:szCs w:val="21"/>
              </w:rPr>
            </w:pPr>
            <w:r>
              <w:rPr>
                <w:rFonts w:hint="eastAsia" w:ascii="宋体" w:hAnsi="宋体" w:eastAsia="宋体" w:cs="宋体"/>
                <w:b/>
                <w:bCs/>
                <w:kern w:val="0"/>
                <w:sz w:val="21"/>
                <w:szCs w:val="21"/>
                <w:lang w:val="en-US" w:eastAsia="zh-CN"/>
              </w:rPr>
              <w:t>54000</w:t>
            </w:r>
            <w:r>
              <w:rPr>
                <w:rFonts w:hint="eastAsia" w:ascii="宋体" w:hAnsi="宋体" w:eastAsia="宋体" w:cs="宋体"/>
                <w:b/>
                <w:bCs/>
                <w:kern w:val="0"/>
                <w:sz w:val="21"/>
                <w:szCs w:val="21"/>
              </w:rPr>
              <w:t>.00</w:t>
            </w:r>
          </w:p>
        </w:tc>
        <w:tc>
          <w:tcPr>
            <w:tcW w:w="184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
                <w:bCs/>
                <w:kern w:val="0"/>
                <w:sz w:val="21"/>
                <w:szCs w:val="21"/>
              </w:rPr>
            </w:pPr>
            <w:r>
              <w:rPr>
                <w:rFonts w:hint="eastAsia" w:ascii="宋体" w:hAnsi="宋体" w:eastAsia="宋体" w:cs="宋体"/>
                <w:b/>
                <w:bCs/>
                <w:kern w:val="0"/>
                <w:sz w:val="21"/>
                <w:szCs w:val="21"/>
                <w:lang w:val="en-US" w:eastAsia="zh-CN"/>
              </w:rPr>
              <w:t>54000</w:t>
            </w:r>
            <w:r>
              <w:rPr>
                <w:rFonts w:hint="eastAsia" w:ascii="宋体" w:hAnsi="宋体" w:eastAsia="宋体" w:cs="宋体"/>
                <w:b/>
                <w:bCs/>
                <w:kern w:val="0"/>
                <w:sz w:val="21"/>
                <w:szCs w:val="21"/>
              </w:rPr>
              <w:t>.00</w:t>
            </w:r>
          </w:p>
        </w:tc>
      </w:tr>
    </w:tbl>
    <w:p>
      <w:pPr>
        <w:spacing w:line="360" w:lineRule="auto"/>
        <w:ind w:firstLine="420"/>
        <w:rPr>
          <w:rFonts w:hint="eastAsia" w:ascii="宋体" w:hAnsi="宋体" w:cs="宋体"/>
          <w:color w:val="auto"/>
          <w:szCs w:val="21"/>
          <w:lang w:val="en-US" w:eastAsia="zh-CN"/>
        </w:rPr>
      </w:pPr>
    </w:p>
    <w:p>
      <w:pPr>
        <w:numPr>
          <w:ilvl w:val="0"/>
          <w:numId w:val="0"/>
        </w:numPr>
        <w:rPr>
          <w:rFonts w:hint="default"/>
          <w:color w:val="auto"/>
          <w:lang w:val="en-US" w:eastAsia="zh-CN"/>
        </w:rPr>
      </w:pPr>
      <w:r>
        <w:rPr>
          <w:rFonts w:hint="eastAsia"/>
          <w:color w:val="auto"/>
          <w:lang w:val="en-US" w:eastAsia="zh-CN"/>
        </w:rPr>
        <w:t>三、供应商资格要求</w:t>
      </w:r>
    </w:p>
    <w:p>
      <w:pPr>
        <w:numPr>
          <w:ilvl w:val="0"/>
          <w:numId w:val="0"/>
        </w:numPr>
        <w:spacing w:line="360" w:lineRule="auto"/>
        <w:ind w:firstLine="420" w:firstLineChars="200"/>
        <w:rPr>
          <w:rFonts w:hint="default" w:ascii="宋体" w:hAnsi="宋体" w:cs="宋体" w:eastAsiaTheme="minorEastAsia"/>
          <w:b/>
          <w:bCs/>
          <w:color w:val="auto"/>
          <w:lang w:val="en-US" w:eastAsia="zh-CN"/>
        </w:rPr>
      </w:pPr>
      <w:r>
        <w:rPr>
          <w:rFonts w:hint="eastAsia"/>
          <w:color w:val="auto"/>
          <w:lang w:val="en-US" w:eastAsia="zh-CN"/>
        </w:rPr>
        <w:t>必须提供有签字盖章的（1. 报价一览表；2 分项报价表；3. 营业执照副本复印件；4. 相关资质；5. 开户许可证（或账户信息）复印件；6. 法定代表人身份证明书；7. 投标人基本情况；8. 无重大违法记录声明书；9. 具有独立承担民事责任能力的承诺书；10. 具有良好商业信誉和具有健全的财务会计制度的承诺书；11. 具有履行合同的专业设备和技术能力的承诺书；12. 质量保障承诺书；13. 售后服务承诺书；14. 响应产品资料）</w:t>
      </w:r>
    </w:p>
    <w:p>
      <w:pPr>
        <w:numPr>
          <w:ilvl w:val="0"/>
          <w:numId w:val="0"/>
        </w:numPr>
        <w:rPr>
          <w:rFonts w:hint="default"/>
          <w:color w:val="auto"/>
          <w:lang w:val="en-US" w:eastAsia="zh-CN"/>
        </w:rPr>
      </w:pPr>
    </w:p>
    <w:p>
      <w:pPr>
        <w:numPr>
          <w:ilvl w:val="0"/>
          <w:numId w:val="2"/>
        </w:numPr>
        <w:rPr>
          <w:rFonts w:hint="eastAsia"/>
          <w:lang w:val="en-US" w:eastAsia="zh-CN"/>
        </w:rPr>
      </w:pPr>
      <w:r>
        <w:rPr>
          <w:rFonts w:hint="eastAsia"/>
          <w:lang w:val="en-US" w:eastAsia="zh-CN"/>
        </w:rPr>
        <w:t>机房运维参数</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1.1综合布线运维服务</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（1）检查现有业务系统集群网络系统，排查处理信息故障点，如配件问题需协助更换网络配件。</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（2）协助完成业务系统集群内外部网络变更，根据设计原则与要求，配合整理相关布线系统。</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（3） 每次调整完成，形成相应的整改报告或结构图。</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1.2强电供电系统运维服务</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（1）检查电器系统的零地电压及各种开关、线路电器参数，保证电气系统正常供电。</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（2）定期对UPS供电负载进行检查，并根据应用需求，调整电源分配，三相平衡监测、平衡负载。</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（3）每年后备电源第三方上门检测，并提供检测报告。同时对电池组进行完全充放电，保障电池性能。</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1.3机房工程系统服务</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（1）检测机房天花、地板、墙面、玻璃隔断、照明、门等各部分的使用情况，发现问题及时解决，协调因需求变化而进行的布局调整。</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1.4空调系统服务</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每日检查机房空调运行情况，即时按机房适宜温度做出相应调整。如若故障，须立即联系设备供应商协调服务人员到场响应处置。保修外故障处置，依据设备服务人员提供资料及市场查询印证资料提请信息中心相关领导处置意见，依规实施。如有第三方部件运维，协调联系第三方运维实施。</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1.5服务器和存储系统服务</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（1）提供每日巡检，排查节点硬件部件故障，及时发现并解决问题。业务集群外设备如有故障，及时联系第三方供应商协调维修。新增服务器、存储设备的上架、系统安装与调试。</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1.6特殊服务--业务集群设备及运维服务</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（1）集群设备运维</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1）集群内节点服务器、存储、数据交换机等设备日常监测。</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2）针对集群内故障设备检测、问题排查、基础维修（有偿部件更换）。集群设备上下架。</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（2）集群系统运维</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1）集群及存储系统系统日常监测。</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2）配合完成集群部署、均衡集群资源、节点系统维护、增减与调配。</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3）存储系统综合管理。</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4）根据集群存储资源现状，提供相应数据备份策略。</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5）应急情况下配合完成集群系统启停工作。</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（3）虚拟机</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1）虚拟机系统日常监测。</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2）虚拟机迁移及资源配置管理。</w:t>
      </w:r>
    </w:p>
    <w:p>
      <w:pPr>
        <w:numPr>
          <w:ilvl w:val="0"/>
          <w:numId w:val="0"/>
        </w:numPr>
        <w:spacing w:line="360" w:lineRule="auto"/>
        <w:ind w:firstLine="420" w:firstLineChars="200"/>
        <w:rPr>
          <w:rFonts w:hint="eastAsia"/>
          <w:color w:val="auto"/>
          <w:lang w:val="en-US" w:eastAsia="zh-CN"/>
        </w:rPr>
      </w:pPr>
      <w:r>
        <w:rPr>
          <w:rFonts w:hint="eastAsia"/>
          <w:color w:val="auto"/>
          <w:lang w:val="en-US" w:eastAsia="zh-CN"/>
        </w:rPr>
        <w:t>3）虚拟机部署，包括虚拟机增减并提供部分虚拟机可用操作系统（正版化系统甲方</w:t>
      </w:r>
      <w:bookmarkStart w:id="0" w:name="_GoBack"/>
      <w:bookmarkEnd w:id="0"/>
      <w:r>
        <w:rPr>
          <w:rFonts w:hint="eastAsia"/>
          <w:color w:val="auto"/>
          <w:lang w:val="en-US" w:eastAsia="zh-CN"/>
        </w:rPr>
        <w:t>需自行激活认证）。</w:t>
      </w:r>
    </w:p>
    <w:p>
      <w:pPr>
        <w:numPr>
          <w:ilvl w:val="0"/>
          <w:numId w:val="0"/>
        </w:numPr>
        <w:spacing w:line="360" w:lineRule="auto"/>
        <w:ind w:firstLine="420" w:firstLineChars="200"/>
        <w:rPr>
          <w:rFonts w:hint="default"/>
          <w:color w:val="auto"/>
          <w:lang w:val="en-US" w:eastAsia="zh-CN"/>
        </w:rPr>
      </w:pPr>
      <w:r>
        <w:rPr>
          <w:rFonts w:hint="eastAsia"/>
          <w:color w:val="auto"/>
          <w:lang w:val="en-US" w:eastAsia="zh-CN"/>
        </w:rPr>
        <w:t>4）配合完成虚拟机业务系统数据传输及拷贝工作。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B4EF8"/>
    <w:multiLevelType w:val="singleLevel"/>
    <w:tmpl w:val="944B4EF8"/>
    <w:lvl w:ilvl="0" w:tentative="0">
      <w:start w:val="4"/>
      <w:numFmt w:val="chineseCounting"/>
      <w:suff w:val="nothing"/>
      <w:lvlText w:val="%1、"/>
      <w:lvlJc w:val="left"/>
      <w:rPr>
        <w:rFonts w:hint="eastAsia"/>
      </w:rPr>
    </w:lvl>
  </w:abstractNum>
  <w:abstractNum w:abstractNumId="1">
    <w:nsid w:val="52357087"/>
    <w:multiLevelType w:val="multilevel"/>
    <w:tmpl w:val="52357087"/>
    <w:lvl w:ilvl="0" w:tentative="0">
      <w:start w:val="1"/>
      <w:numFmt w:val="decimal"/>
      <w:lvlText w:val="第%1章"/>
      <w:lvlJc w:val="left"/>
      <w:pPr>
        <w:tabs>
          <w:tab w:val="left" w:pos="0"/>
        </w:tabs>
        <w:ind w:left="0" w:firstLine="0"/>
      </w:pPr>
      <w:rPr>
        <w:rFonts w:hint="eastAsia" w:ascii="黑体" w:hAnsi="宋体" w:eastAsia="黑体"/>
        <w:b/>
        <w:i w:val="0"/>
        <w:sz w:val="32"/>
        <w:szCs w:val="32"/>
      </w:rPr>
    </w:lvl>
    <w:lvl w:ilvl="1" w:tentative="0">
      <w:start w:val="1"/>
      <w:numFmt w:val="decimal"/>
      <w:pStyle w:val="2"/>
      <w:lvlText w:val="%1.%2"/>
      <w:lvlJc w:val="left"/>
      <w:pPr>
        <w:tabs>
          <w:tab w:val="left" w:pos="0"/>
        </w:tabs>
        <w:ind w:left="0" w:firstLine="0"/>
      </w:pPr>
      <w:rPr>
        <w:rFonts w:hint="eastAsia" w:eastAsia="黑体"/>
        <w:b/>
        <w:i w:val="0"/>
        <w:sz w:val="32"/>
        <w:szCs w:val="32"/>
      </w:rPr>
    </w:lvl>
    <w:lvl w:ilvl="2" w:tentative="0">
      <w:start w:val="1"/>
      <w:numFmt w:val="decimal"/>
      <w:pStyle w:val="3"/>
      <w:lvlText w:val="%1.%2.%3"/>
      <w:lvlJc w:val="left"/>
      <w:pPr>
        <w:tabs>
          <w:tab w:val="left" w:pos="0"/>
        </w:tabs>
        <w:ind w:left="0" w:firstLine="0"/>
      </w:pPr>
      <w:rPr>
        <w:rFonts w:hint="eastAsia" w:ascii="黑体" w:eastAsia="黑体"/>
        <w:b/>
        <w:i w:val="0"/>
        <w:color w:val="auto"/>
        <w:sz w:val="32"/>
        <w:szCs w:val="32"/>
        <w:u w:val="none"/>
      </w:rPr>
    </w:lvl>
    <w:lvl w:ilvl="3" w:tentative="0">
      <w:start w:val="1"/>
      <w:numFmt w:val="decimal"/>
      <w:lvlText w:val="%1.%2.%3.%4"/>
      <w:lvlJc w:val="left"/>
      <w:pPr>
        <w:tabs>
          <w:tab w:val="left" w:pos="0"/>
        </w:tabs>
        <w:ind w:left="0" w:firstLine="0"/>
      </w:pPr>
      <w:rPr>
        <w:rFonts w:hint="eastAsia" w:ascii="黑体" w:eastAsia="黑体"/>
        <w:b/>
        <w:i w:val="0"/>
        <w:sz w:val="32"/>
        <w:szCs w:val="32"/>
      </w:rPr>
    </w:lvl>
    <w:lvl w:ilvl="4" w:tentative="0">
      <w:start w:val="1"/>
      <w:numFmt w:val="decimal"/>
      <w:lvlText w:val="%1.%2.%3.%4.%5"/>
      <w:lvlJc w:val="left"/>
      <w:pPr>
        <w:tabs>
          <w:tab w:val="left" w:pos="0"/>
        </w:tabs>
        <w:ind w:left="0" w:firstLine="0"/>
      </w:pPr>
      <w:rPr>
        <w:rFonts w:hint="eastAsia" w:eastAsia="宋体"/>
        <w:b/>
        <w:i w:val="0"/>
        <w:sz w:val="32"/>
        <w:szCs w:val="32"/>
      </w:rPr>
    </w:lvl>
    <w:lvl w:ilvl="5" w:tentative="0">
      <w:start w:val="1"/>
      <w:numFmt w:val="decimal"/>
      <w:lvlText w:val="%1.%2.%3.%4.%5.%6"/>
      <w:lvlJc w:val="left"/>
      <w:pPr>
        <w:tabs>
          <w:tab w:val="left" w:pos="0"/>
        </w:tabs>
        <w:ind w:left="0" w:firstLine="0"/>
      </w:pPr>
      <w:rPr>
        <w:rFonts w:hint="eastAsia"/>
        <w:sz w:val="32"/>
        <w:szCs w:val="32"/>
      </w:rPr>
    </w:lvl>
    <w:lvl w:ilvl="6" w:tentative="0">
      <w:start w:val="1"/>
      <w:numFmt w:val="decimal"/>
      <w:lvlText w:val="%1.%2.%3.%4.%5.%6.%7"/>
      <w:lvlJc w:val="left"/>
      <w:pPr>
        <w:tabs>
          <w:tab w:val="left" w:pos="1440"/>
        </w:tabs>
        <w:ind w:left="1440" w:firstLine="0"/>
      </w:pPr>
      <w:rPr>
        <w:rFonts w:hint="eastAsia" w:cs="Times New Roman"/>
        <w:i w:val="0"/>
        <w:iCs w:val="0"/>
        <w:caps w:val="0"/>
        <w:smallCaps w:val="0"/>
        <w:strike w:val="0"/>
        <w:dstrike w:val="0"/>
        <w:vanish w:val="0"/>
        <w:spacing w:val="0"/>
        <w:position w:val="0"/>
        <w:u w:val="none"/>
        <w:vertAlign w:val="baseline"/>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4ODQxOGYyNzgyNTI1ZGM2YjEyMjBjNWQ1NWVhMjAifQ=="/>
  </w:docVars>
  <w:rsids>
    <w:rsidRoot w:val="00000000"/>
    <w:rsid w:val="074A6A00"/>
    <w:rsid w:val="1FB952D6"/>
    <w:rsid w:val="46FB57D4"/>
    <w:rsid w:val="57272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numPr>
        <w:ilvl w:val="1"/>
        <w:numId w:val="1"/>
      </w:numPr>
      <w:spacing w:before="240" w:after="240" w:line="400" w:lineRule="exact"/>
      <w:outlineLvl w:val="1"/>
    </w:pPr>
    <w:rPr>
      <w:rFonts w:ascii="黑体" w:hAnsi="黑体" w:eastAsia="黑体"/>
      <w:b/>
      <w:bCs/>
      <w:sz w:val="32"/>
      <w:szCs w:val="32"/>
    </w:rPr>
  </w:style>
  <w:style w:type="paragraph" w:styleId="3">
    <w:name w:val="heading 3"/>
    <w:basedOn w:val="1"/>
    <w:next w:val="1"/>
    <w:qFormat/>
    <w:uiPriority w:val="0"/>
    <w:pPr>
      <w:keepNext/>
      <w:keepLines/>
      <w:numPr>
        <w:ilvl w:val="2"/>
        <w:numId w:val="1"/>
      </w:numPr>
      <w:spacing w:before="240" w:after="240" w:line="400" w:lineRule="exact"/>
      <w:outlineLvl w:val="2"/>
    </w:pPr>
    <w:rPr>
      <w:rFonts w:ascii="黑体" w:hAnsi="黑体" w:eastAsia="黑体"/>
      <w:b/>
      <w:bCs/>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toc 2"/>
    <w:basedOn w:val="1"/>
    <w:next w:val="1"/>
    <w:qFormat/>
    <w:uiPriority w:val="39"/>
    <w:pPr>
      <w:ind w:left="420" w:leftChars="200"/>
    </w:pPr>
  </w:style>
  <w:style w:type="character" w:customStyle="1" w:styleId="7">
    <w:name w:val="font41"/>
    <w:basedOn w:val="6"/>
    <w:qFormat/>
    <w:uiPriority w:val="0"/>
    <w:rPr>
      <w:rFonts w:ascii="宋体" w:hAnsi="宋体" w:eastAsia="宋体" w:cs="宋体"/>
      <w:color w:val="000000"/>
      <w:sz w:val="12"/>
      <w:szCs w:val="12"/>
      <w:u w:val="none"/>
    </w:rPr>
  </w:style>
  <w:style w:type="paragraph" w:customStyle="1" w:styleId="8">
    <w:name w:val="Normal Indent1"/>
    <w:basedOn w:val="9"/>
    <w:qFormat/>
    <w:uiPriority w:val="99"/>
    <w:pPr>
      <w:ind w:firstLine="420" w:firstLineChars="200"/>
    </w:pPr>
    <w:rPr>
      <w:rFonts w:cs="Times New Roman"/>
    </w:rPr>
  </w:style>
  <w:style w:type="paragraph" w:customStyle="1" w:styleId="9">
    <w:name w:val="正文 New"/>
    <w:next w:val="10"/>
    <w:qFormat/>
    <w:uiPriority w:val="0"/>
    <w:pPr>
      <w:widowControl w:val="0"/>
      <w:jc w:val="both"/>
    </w:pPr>
    <w:rPr>
      <w:rFonts w:ascii="Calibri" w:hAnsi="Calibri" w:eastAsia="宋体" w:cs="黑体"/>
      <w:kern w:val="2"/>
      <w:sz w:val="21"/>
      <w:szCs w:val="22"/>
      <w:lang w:val="en-US" w:eastAsia="zh-CN" w:bidi="ar-SA"/>
    </w:rPr>
  </w:style>
  <w:style w:type="paragraph" w:customStyle="1" w:styleId="10">
    <w:name w:val="图表目录1"/>
    <w:basedOn w:val="11"/>
    <w:next w:val="11"/>
    <w:qFormat/>
    <w:uiPriority w:val="0"/>
    <w:pPr>
      <w:ind w:left="200" w:leftChars="200" w:hanging="200" w:hangingChars="200"/>
    </w:p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0"/>
    <w:qFormat/>
    <w:uiPriority w:val="0"/>
    <w:pPr>
      <w:widowControl w:val="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1166</Words>
  <Characters>1215</Characters>
  <Lines>0</Lines>
  <Paragraphs>0</Paragraphs>
  <TotalTime>11</TotalTime>
  <ScaleCrop>false</ScaleCrop>
  <LinksUpToDate>false</LinksUpToDate>
  <CharactersWithSpaces>1230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2026-10-20T07:31:00Z</dcterms:created>
  <dc:creator>gyf</dc:creator>
  <cp:lastModifiedBy>测试管理员5</cp:lastModifiedBy>
  <dcterms:modified xsi:type="dcterms:W3CDTF">2026-10-21T02:17:50Z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KSOTemplateDocerSaveRecord">
    <vt:lpwstr>eyJoZGlkIjoiZTFkNjA5MDdiMWQxNDUwMTEwYjcxZDBkMDdlYTE2YmMiLCJ1c2VySWQiOiIxNDk2MDc3OTY5In0=</vt:lpwstr>
  </property>
  <property fmtid="{D5CDD505-2E9C-101B-9397-08002B2CF9AE}" pid="4" name="ICV">
    <vt:lpwstr>335F1474CEE94B6BB5E2D31CFD6877C8</vt:lpwstr>
  </property>
</Properties>
</file>