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D0DD1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hint="eastAsia" w:ascii="Arial" w:hAnsi="Arial" w:eastAsia="等线" w:cs="Arial"/>
          <w:b/>
          <w:sz w:val="52"/>
          <w:lang w:val="en-US" w:eastAsia="zh-CN"/>
        </w:rPr>
        <w:t xml:space="preserve"> </w:t>
      </w:r>
      <w:r>
        <w:rPr>
          <w:rFonts w:ascii="Arial" w:hAnsi="Arial" w:eastAsia="等线" w:cs="Arial"/>
          <w:b/>
          <w:sz w:val="32"/>
        </w:rPr>
        <w:t>一、项目概述</w:t>
      </w:r>
      <w:bookmarkEnd w:id="0"/>
    </w:p>
    <w:p w14:paraId="12454240">
      <w:pPr>
        <w:spacing w:before="120" w:after="120" w:line="288" w:lineRule="auto"/>
        <w:ind w:left="0" w:firstLine="220" w:firstLineChars="100"/>
        <w:jc w:val="left"/>
      </w:pPr>
      <w:r>
        <w:rPr>
          <w:rFonts w:ascii="Arial" w:hAnsi="Arial" w:eastAsia="等线" w:cs="Arial"/>
          <w:sz w:val="22"/>
        </w:rPr>
        <w:t>为满足国家及省级卫生健康委、</w:t>
      </w:r>
      <w:r>
        <w:rPr>
          <w:rFonts w:hint="eastAsia" w:ascii="Arial" w:hAnsi="Arial" w:eastAsia="等线" w:cs="Arial"/>
          <w:sz w:val="22"/>
        </w:rPr>
        <w:t>国家食品安全风险评估中心</w:t>
      </w:r>
      <w:r>
        <w:rPr>
          <w:rFonts w:ascii="Arial" w:hAnsi="Arial" w:eastAsia="等线" w:cs="Arial"/>
          <w:sz w:val="22"/>
        </w:rPr>
        <w:t>关于食源性疾病病例监测数据安全传输与业务连续运行要求，对省级 — 州（市）— 县（区）疾控中心、医疗机构 IPsec VPN 隧道提供</w:t>
      </w:r>
      <w:r>
        <w:rPr>
          <w:rFonts w:ascii="Arial" w:hAnsi="Arial" w:eastAsia="等线" w:cs="Arial"/>
          <w:b/>
          <w:sz w:val="22"/>
        </w:rPr>
        <w:t>全周期运维保障</w:t>
      </w:r>
      <w:r>
        <w:rPr>
          <w:rFonts w:ascii="Arial" w:hAnsi="Arial" w:eastAsia="等线" w:cs="Arial"/>
          <w:sz w:val="22"/>
        </w:rPr>
        <w:t>，确保监测数据加密传输、链路稳定、故障快速恢复，满足等保、密评与医疗数据安全管理规范。</w:t>
      </w:r>
    </w:p>
    <w:p w14:paraId="19A18929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二、服务范围</w:t>
      </w:r>
      <w:bookmarkEnd w:id="1"/>
    </w:p>
    <w:p w14:paraId="18719076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省级疾控中心与</w:t>
      </w:r>
      <w:r>
        <w:rPr>
          <w:rFonts w:hint="eastAsia" w:ascii="Arial" w:hAnsi="Arial" w:eastAsia="等线" w:cs="Arial"/>
          <w:b/>
          <w:sz w:val="22"/>
        </w:rPr>
        <w:t>国家食品安全风险评估中心</w:t>
      </w:r>
      <w:r>
        <w:rPr>
          <w:rFonts w:ascii="Arial" w:hAnsi="Arial" w:eastAsia="等线" w:cs="Arial"/>
          <w:sz w:val="22"/>
        </w:rPr>
        <w:t>主备双 IPsec VPN 隧道运维</w:t>
      </w:r>
    </w:p>
    <w:p w14:paraId="0A125A9F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省级疾控中心与省内</w:t>
      </w:r>
      <w:r>
        <w:rPr>
          <w:rFonts w:ascii="Arial" w:hAnsi="Arial" w:eastAsia="等线" w:cs="Arial"/>
          <w:b/>
          <w:sz w:val="22"/>
        </w:rPr>
        <w:t>州（市）、县（区）疾控中心、医疗机构</w:t>
      </w:r>
      <w:r>
        <w:rPr>
          <w:rFonts w:ascii="Arial" w:hAnsi="Arial" w:eastAsia="等线" w:cs="Arial"/>
          <w:sz w:val="22"/>
        </w:rPr>
        <w:t>IPsec VPN 隧道运维</w:t>
      </w:r>
    </w:p>
    <w:p w14:paraId="7FEB56B6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VPN 网关设备、策略表、SA 会话表、IKE 参数、密钥 / 证书全生命周期管理</w:t>
      </w:r>
    </w:p>
    <w:p w14:paraId="79DE44FD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备机保障、应急切换、故障处置、监控告警、日志审计</w:t>
      </w:r>
    </w:p>
    <w:p w14:paraId="3782A3A8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驻场支撑、7×24 小时应急响应、定期巡检与优化</w:t>
      </w:r>
    </w:p>
    <w:p w14:paraId="4A266930">
      <w:pPr>
        <w:spacing w:before="320" w:after="120" w:line="288" w:lineRule="auto"/>
        <w:ind w:left="0"/>
        <w:jc w:val="left"/>
        <w:outlineLvl w:val="1"/>
        <w:rPr>
          <w:rStyle w:val="3"/>
          <w:woUserID w:val="0"/>
        </w:rPr>
      </w:pPr>
      <w:bookmarkStart w:id="2" w:name="heading_2"/>
      <w:r>
        <w:rPr>
          <w:rFonts w:ascii="Arial" w:hAnsi="Arial" w:eastAsia="等线" w:cs="Arial"/>
          <w:b/>
          <w:sz w:val="32"/>
        </w:rPr>
        <w:t>三、核心技术要求</w:t>
      </w:r>
      <w:bookmarkEnd w:id="2"/>
      <w:bookmarkStart w:id="11" w:name="_GoBack"/>
      <w:bookmarkEnd w:id="11"/>
    </w:p>
    <w:p w14:paraId="4533CB61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（一）隧道与安全规范</w:t>
      </w:r>
      <w:bookmarkEnd w:id="3"/>
    </w:p>
    <w:p w14:paraId="6B04CED6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遵循</w:t>
      </w:r>
      <w:r>
        <w:rPr>
          <w:rFonts w:ascii="Arial" w:hAnsi="Arial" w:eastAsia="等线" w:cs="Arial"/>
          <w:b/>
          <w:sz w:val="22"/>
        </w:rPr>
        <w:t>GM/T 0022-2023《IPsec VPN 技术规范》</w:t>
      </w:r>
      <w:r>
        <w:rPr>
          <w:rFonts w:ascii="Arial" w:hAnsi="Arial" w:eastAsia="等线" w:cs="Arial"/>
          <w:sz w:val="22"/>
        </w:rPr>
        <w:t>、</w:t>
      </w:r>
      <w:r>
        <w:rPr>
          <w:rFonts w:ascii="Arial" w:hAnsi="Arial" w:eastAsia="等线" w:cs="Arial"/>
          <w:b/>
          <w:sz w:val="22"/>
        </w:rPr>
        <w:t>GM/T 0023-2023《IPsec VPN 网关产品规范》</w:t>
      </w:r>
    </w:p>
    <w:p w14:paraId="68F7F07D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加密算法：</w:t>
      </w:r>
      <w:r>
        <w:rPr>
          <w:rFonts w:ascii="Arial" w:hAnsi="Arial" w:eastAsia="等线" w:cs="Arial"/>
          <w:b/>
          <w:sz w:val="22"/>
        </w:rPr>
        <w:t>AES-256/SM4</w:t>
      </w:r>
      <w:r>
        <w:rPr>
          <w:rFonts w:ascii="Arial" w:hAnsi="Arial" w:eastAsia="等线" w:cs="Arial"/>
          <w:sz w:val="22"/>
        </w:rPr>
        <w:t>、认证</w:t>
      </w:r>
      <w:r>
        <w:rPr>
          <w:rFonts w:ascii="Arial" w:hAnsi="Arial" w:eastAsia="等线" w:cs="Arial"/>
          <w:b/>
          <w:sz w:val="22"/>
        </w:rPr>
        <w:t>SHA-256/SM3</w:t>
      </w:r>
      <w:r>
        <w:rPr>
          <w:rFonts w:ascii="Arial" w:hAnsi="Arial" w:eastAsia="等线" w:cs="Arial"/>
          <w:sz w:val="22"/>
        </w:rPr>
        <w:t>、密钥交换</w:t>
      </w:r>
      <w:r>
        <w:rPr>
          <w:rFonts w:ascii="Arial" w:hAnsi="Arial" w:eastAsia="等线" w:cs="Arial"/>
          <w:b/>
          <w:sz w:val="22"/>
        </w:rPr>
        <w:t>RSA2048/SM2</w:t>
      </w:r>
      <w:r>
        <w:rPr>
          <w:rFonts w:ascii="Arial" w:hAnsi="Arial" w:eastAsia="等线" w:cs="Arial"/>
          <w:sz w:val="22"/>
        </w:rPr>
        <w:t>，禁用弱算法、弱 DH 组</w:t>
      </w:r>
    </w:p>
    <w:p w14:paraId="03DD8F61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IKE/IPsec SA 生命周期合规，密钥定期轮换，证书 / 预共享密钥统一管理</w:t>
      </w:r>
    </w:p>
    <w:p w14:paraId="26FCCBFF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支持</w:t>
      </w:r>
      <w:r>
        <w:rPr>
          <w:rFonts w:ascii="Arial" w:hAnsi="Arial" w:eastAsia="等线" w:cs="Arial"/>
          <w:b/>
          <w:sz w:val="22"/>
        </w:rPr>
        <w:t>主备隧道自动切换</w:t>
      </w:r>
      <w:r>
        <w:rPr>
          <w:rFonts w:ascii="Arial" w:hAnsi="Arial" w:eastAsia="等线" w:cs="Arial"/>
          <w:sz w:val="22"/>
        </w:rPr>
        <w:t>，切换时间≤30 秒，保障业务不中断</w:t>
      </w:r>
    </w:p>
    <w:p w14:paraId="303EBBE7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满足网络安全等级保护、密码应用安全性评估要求，日志留存≥</w:t>
      </w:r>
      <w:r>
        <w:rPr>
          <w:rFonts w:ascii="Arial" w:hAnsi="Arial" w:eastAsia="等线" w:cs="Arial"/>
          <w:b/>
          <w:sz w:val="22"/>
        </w:rPr>
        <w:t>180 天</w:t>
      </w:r>
    </w:p>
    <w:p w14:paraId="6BA2956B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（二）性能与容量</w:t>
      </w:r>
      <w:bookmarkEnd w:id="4"/>
    </w:p>
    <w:p w14:paraId="6C74B077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支持省级节点并发 IPsec 隧道≥</w:t>
      </w:r>
      <w:r>
        <w:rPr>
          <w:rFonts w:ascii="Arial" w:hAnsi="Arial" w:eastAsia="等线" w:cs="Arial"/>
          <w:b/>
          <w:sz w:val="22"/>
        </w:rPr>
        <w:t>200 条</w:t>
      </w:r>
      <w:r>
        <w:rPr>
          <w:rFonts w:ascii="Arial" w:hAnsi="Arial" w:eastAsia="等线" w:cs="Arial"/>
          <w:sz w:val="22"/>
        </w:rPr>
        <w:t>，可横向扩展</w:t>
      </w:r>
    </w:p>
    <w:p w14:paraId="1625E306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隧道建立成功率≥</w:t>
      </w:r>
      <w:r>
        <w:rPr>
          <w:rFonts w:ascii="Arial" w:hAnsi="Arial" w:eastAsia="等线" w:cs="Arial"/>
          <w:b/>
          <w:sz w:val="22"/>
        </w:rPr>
        <w:t>99.9%</w:t>
      </w:r>
      <w:r>
        <w:rPr>
          <w:rFonts w:ascii="Arial" w:hAnsi="Arial" w:eastAsia="等线" w:cs="Arial"/>
          <w:sz w:val="22"/>
        </w:rPr>
        <w:t>，年度可用率≥</w:t>
      </w:r>
      <w:r>
        <w:rPr>
          <w:rFonts w:ascii="Arial" w:hAnsi="Arial" w:eastAsia="等线" w:cs="Arial"/>
          <w:b/>
          <w:sz w:val="22"/>
        </w:rPr>
        <w:t>99.9%</w:t>
      </w:r>
    </w:p>
    <w:p w14:paraId="223314D2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配置 / 策略变更响应≤</w:t>
      </w:r>
      <w:r>
        <w:rPr>
          <w:rFonts w:ascii="Arial" w:hAnsi="Arial" w:eastAsia="等线" w:cs="Arial"/>
          <w:b/>
          <w:sz w:val="22"/>
        </w:rPr>
        <w:t>3 秒</w:t>
      </w:r>
      <w:r>
        <w:rPr>
          <w:rFonts w:ascii="Arial" w:hAnsi="Arial" w:eastAsia="等线" w:cs="Arial"/>
          <w:sz w:val="22"/>
        </w:rPr>
        <w:t>，不影响在线业务</w:t>
      </w:r>
    </w:p>
    <w:p w14:paraId="5945BDA0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兼容各级疾控、医疗机构现有网络设备，跨厂商互通</w:t>
      </w:r>
    </w:p>
    <w:p w14:paraId="105D602B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（三）配置与策略管理</w:t>
      </w:r>
      <w:bookmarkEnd w:id="5"/>
    </w:p>
    <w:p w14:paraId="5E3B5EA6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统一 IPsec 策略表、SA 表、IKE 参数表，</w:t>
      </w:r>
      <w:r>
        <w:rPr>
          <w:rFonts w:ascii="Arial" w:hAnsi="Arial" w:eastAsia="等线" w:cs="Arial"/>
          <w:b/>
          <w:sz w:val="22"/>
        </w:rPr>
        <w:t>标准化模板（CSV/JSON）</w:t>
      </w:r>
    </w:p>
    <w:p w14:paraId="6AF06ACF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新增 / 变更 / 删除隧道策略</w:t>
      </w:r>
      <w:r>
        <w:rPr>
          <w:rFonts w:ascii="Arial" w:hAnsi="Arial" w:eastAsia="等线" w:cs="Arial"/>
          <w:b/>
          <w:sz w:val="22"/>
        </w:rPr>
        <w:t>双人复核、全程审计</w:t>
      </w:r>
    </w:p>
    <w:p w14:paraId="6EF2CF7A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配置自动备份，支持一键回滚，升级前必须备份</w:t>
      </w:r>
    </w:p>
    <w:p w14:paraId="7B58F4DF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按机构维度权限隔离，防止越权操作</w:t>
      </w:r>
    </w:p>
    <w:p w14:paraId="599C5AA3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四、服务要求</w:t>
      </w:r>
      <w:bookmarkEnd w:id="6"/>
    </w:p>
    <w:p w14:paraId="11987E15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（一）驻场服务</w:t>
      </w:r>
      <w:bookmarkEnd w:id="7"/>
    </w:p>
    <w:p w14:paraId="14A95444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提供</w:t>
      </w:r>
      <w:r>
        <w:rPr>
          <w:rFonts w:ascii="Arial" w:hAnsi="Arial" w:eastAsia="等线" w:cs="Arial"/>
          <w:b/>
          <w:sz w:val="22"/>
        </w:rPr>
        <w:t>1 名专职驻场工程师</w:t>
      </w:r>
      <w:r>
        <w:rPr>
          <w:rFonts w:ascii="Arial" w:hAnsi="Arial" w:eastAsia="等线" w:cs="Arial"/>
          <w:sz w:val="22"/>
        </w:rPr>
        <w:t>，驻场地点：呈贡区疾控中心办公区</w:t>
      </w:r>
    </w:p>
    <w:p w14:paraId="262D5D10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驻场时间：法定工作日</w:t>
      </w:r>
      <w:r>
        <w:rPr>
          <w:rFonts w:ascii="Arial" w:hAnsi="Arial" w:eastAsia="等线" w:cs="Arial"/>
          <w:b/>
          <w:sz w:val="22"/>
        </w:rPr>
        <w:t>9:00-17:30</w:t>
      </w:r>
    </w:p>
    <w:p w14:paraId="47F0FE84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非工作时间提供</w:t>
      </w:r>
      <w:r>
        <w:rPr>
          <w:rFonts w:ascii="Arial" w:hAnsi="Arial" w:eastAsia="等线" w:cs="Arial"/>
          <w:b/>
          <w:sz w:val="22"/>
        </w:rPr>
        <w:t>7×24 小时电话值守</w:t>
      </w:r>
      <w:r>
        <w:rPr>
          <w:rFonts w:ascii="Arial" w:hAnsi="Arial" w:eastAsia="等线" w:cs="Arial"/>
          <w:sz w:val="22"/>
        </w:rPr>
        <w:t>（含节假日）</w:t>
      </w:r>
    </w:p>
    <w:p w14:paraId="4700A6D2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人员名单书面报备，未经招标人同意</w:t>
      </w:r>
      <w:r>
        <w:rPr>
          <w:rFonts w:ascii="Arial" w:hAnsi="Arial" w:eastAsia="等线" w:cs="Arial"/>
          <w:b/>
          <w:sz w:val="22"/>
        </w:rPr>
        <w:t>不得擅自更换</w:t>
      </w:r>
    </w:p>
    <w:p w14:paraId="1E1A5C8D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突发故障接到通知后</w:t>
      </w:r>
      <w:r>
        <w:rPr>
          <w:rFonts w:ascii="Arial" w:hAnsi="Arial" w:eastAsia="等线" w:cs="Arial"/>
          <w:b/>
          <w:sz w:val="22"/>
        </w:rPr>
        <w:t>1 小时内到达现场</w:t>
      </w:r>
      <w:r>
        <w:rPr>
          <w:rFonts w:ascii="Arial" w:hAnsi="Arial" w:eastAsia="等线" w:cs="Arial"/>
          <w:sz w:val="22"/>
        </w:rPr>
        <w:t>，未按时到达每次扣服务费</w:t>
      </w:r>
      <w:r>
        <w:rPr>
          <w:rFonts w:ascii="Arial" w:hAnsi="Arial" w:eastAsia="等线" w:cs="Arial"/>
          <w:b/>
          <w:sz w:val="22"/>
        </w:rPr>
        <w:t>300 元</w:t>
      </w:r>
    </w:p>
    <w:p w14:paraId="4E7E908A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（二）故障处理</w:t>
      </w:r>
      <w:bookmarkEnd w:id="8"/>
    </w:p>
    <w:p w14:paraId="3D3075F3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影响核心业务故障</w:t>
      </w:r>
      <w:r>
        <w:rPr>
          <w:rFonts w:ascii="Arial" w:hAnsi="Arial" w:eastAsia="等线" w:cs="Arial"/>
          <w:b/>
          <w:sz w:val="22"/>
        </w:rPr>
        <w:t>1 小时内有效处置并恢复</w:t>
      </w:r>
    </w:p>
    <w:p w14:paraId="34A8B172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驻场无法解决的问题，</w:t>
      </w:r>
      <w:r>
        <w:rPr>
          <w:rFonts w:ascii="Arial" w:hAnsi="Arial" w:eastAsia="等线" w:cs="Arial"/>
          <w:b/>
          <w:sz w:val="22"/>
        </w:rPr>
        <w:t>12 小时内组织专家 / 原厂支持</w:t>
      </w:r>
    </w:p>
    <w:p w14:paraId="37B479E8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提供</w:t>
      </w:r>
      <w:r>
        <w:rPr>
          <w:rFonts w:ascii="Arial" w:hAnsi="Arial" w:eastAsia="等线" w:cs="Arial"/>
          <w:b/>
          <w:sz w:val="22"/>
        </w:rPr>
        <w:t>VPN 设备备机保障</w:t>
      </w:r>
      <w:r>
        <w:rPr>
          <w:rFonts w:ascii="Arial" w:hAnsi="Arial" w:eastAsia="等线" w:cs="Arial"/>
          <w:sz w:val="22"/>
        </w:rPr>
        <w:t>，主设备故障立即切换，最小化中断</w:t>
      </w:r>
    </w:p>
    <w:p w14:paraId="458D0CD4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故障闭环管理：受理 — 派单 — 处理 — 验证 — 归档，全程可追溯</w:t>
      </w:r>
    </w:p>
    <w:p w14:paraId="48CE2402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（三）监控与巡检</w:t>
      </w:r>
      <w:bookmarkEnd w:id="9"/>
    </w:p>
    <w:p w14:paraId="755BC576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7×24 小时监控隧道状态、流量、协商失败、重传、丢包</w:t>
      </w:r>
    </w:p>
    <w:p w14:paraId="2AE341CB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异常</w:t>
      </w:r>
      <w:r>
        <w:rPr>
          <w:rFonts w:ascii="Arial" w:hAnsi="Arial" w:eastAsia="等线" w:cs="Arial"/>
          <w:b/>
          <w:sz w:val="22"/>
        </w:rPr>
        <w:t>实时告警</w:t>
      </w:r>
      <w:r>
        <w:rPr>
          <w:rFonts w:ascii="Arial" w:hAnsi="Arial" w:eastAsia="等线" w:cs="Arial"/>
          <w:sz w:val="22"/>
        </w:rPr>
        <w:t>（短信 / 平台 / 微信群）</w:t>
      </w:r>
    </w:p>
    <w:p w14:paraId="54C80751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月度常规巡检、季度深度巡检，输出</w:t>
      </w:r>
      <w:r>
        <w:rPr>
          <w:rFonts w:ascii="Arial" w:hAnsi="Arial" w:eastAsia="等线" w:cs="Arial"/>
          <w:b/>
          <w:sz w:val="22"/>
        </w:rPr>
        <w:t>巡检报告与优化建议</w:t>
      </w:r>
    </w:p>
    <w:p w14:paraId="2FC4DDA1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定期开展链路压力、加密性能、切换有效性测试</w:t>
      </w:r>
    </w:p>
    <w:p w14:paraId="7514ABEB"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（四）日志与审计</w:t>
      </w:r>
      <w:bookmarkEnd w:id="10"/>
    </w:p>
    <w:p w14:paraId="6DE10D4F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完整记录：建立 / 断开 / 重协商、策略变更、密钥操作、登录、告警</w:t>
      </w:r>
    </w:p>
    <w:p w14:paraId="611FAB24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支持按时间、机构、设备、故障类型检索、导出报表</w:t>
      </w:r>
    </w:p>
    <w:p w14:paraId="7B53EDC5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配合等保、密评、医疗数据安全检查，提供合规材料</w:t>
      </w:r>
    </w:p>
    <w:p w14:paraId="36314189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  <w:rPr>
          <w:rFonts w:hint="eastAsia" w:eastAsia="宋体"/>
          <w:lang w:eastAsia="zh-CN"/>
        </w:rPr>
      </w:pPr>
      <w:r>
        <w:rPr>
          <w:rFonts w:hint="eastAsia" w:ascii="Arial" w:hAnsi="Arial" w:eastAsia="等线" w:cs="Arial"/>
          <w:b/>
          <w:sz w:val="32"/>
          <w:lang w:val="en-US" w:eastAsia="zh-CN"/>
        </w:rPr>
        <w:t xml:space="preserve">  </w:t>
      </w:r>
    </w:p>
    <w:p w14:paraId="5E684C9A">
      <w:pPr>
        <w:spacing w:before="120" w:after="120" w:line="288" w:lineRule="auto"/>
        <w:ind w:left="0"/>
        <w:jc w:val="left"/>
        <w:rPr>
          <w:rFonts w:hint="eastAsia" w:eastAsia="宋体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4DA8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909F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C8AC8EF"/>
    <w:multiLevelType w:val="singleLevel"/>
    <w:tmpl w:val="9C8AC8E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">
    <w:nsid w:val="B0F1ACD9"/>
    <w:multiLevelType w:val="singleLevel"/>
    <w:tmpl w:val="B0F1ACD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7">
    <w:nsid w:val="BE923771"/>
    <w:multiLevelType w:val="singleLevel"/>
    <w:tmpl w:val="BE923771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8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9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1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5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0E640482"/>
    <w:multiLevelType w:val="singleLevel"/>
    <w:tmpl w:val="0E640482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8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46A08BB8"/>
    <w:multiLevelType w:val="singleLevel"/>
    <w:tmpl w:val="46A08BB8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3">
    <w:nsid w:val="4C1BAE26"/>
    <w:multiLevelType w:val="singleLevel"/>
    <w:tmpl w:val="4C1BAE2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4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7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60382F6E"/>
    <w:multiLevelType w:val="singleLevel"/>
    <w:tmpl w:val="60382F6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9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77ECEA79"/>
    <w:multiLevelType w:val="singleLevel"/>
    <w:tmpl w:val="77ECEA7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2">
    <w:nsid w:val="7C246926"/>
    <w:multiLevelType w:val="singleLevel"/>
    <w:tmpl w:val="7C24692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3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4"/>
  </w:num>
  <w:num w:numId="2">
    <w:abstractNumId w:val="10"/>
  </w:num>
  <w:num w:numId="3">
    <w:abstractNumId w:val="26"/>
  </w:num>
  <w:num w:numId="4">
    <w:abstractNumId w:val="8"/>
  </w:num>
  <w:num w:numId="5">
    <w:abstractNumId w:val="6"/>
  </w:num>
  <w:num w:numId="6">
    <w:abstractNumId w:val="16"/>
  </w:num>
  <w:num w:numId="7">
    <w:abstractNumId w:val="19"/>
  </w:num>
  <w:num w:numId="8">
    <w:abstractNumId w:val="30"/>
  </w:num>
  <w:num w:numId="9">
    <w:abstractNumId w:val="15"/>
  </w:num>
  <w:num w:numId="10">
    <w:abstractNumId w:val="2"/>
  </w:num>
  <w:num w:numId="11">
    <w:abstractNumId w:val="20"/>
  </w:num>
  <w:num w:numId="12">
    <w:abstractNumId w:val="27"/>
  </w:num>
  <w:num w:numId="13">
    <w:abstractNumId w:val="9"/>
  </w:num>
  <w:num w:numId="14">
    <w:abstractNumId w:val="24"/>
  </w:num>
  <w:num w:numId="15">
    <w:abstractNumId w:val="13"/>
  </w:num>
  <w:num w:numId="16">
    <w:abstractNumId w:val="18"/>
  </w:num>
  <w:num w:numId="17">
    <w:abstractNumId w:val="12"/>
  </w:num>
  <w:num w:numId="18">
    <w:abstractNumId w:val="11"/>
  </w:num>
  <w:num w:numId="19">
    <w:abstractNumId w:val="4"/>
  </w:num>
  <w:num w:numId="20">
    <w:abstractNumId w:val="23"/>
  </w:num>
  <w:num w:numId="21">
    <w:abstractNumId w:val="28"/>
  </w:num>
  <w:num w:numId="22">
    <w:abstractNumId w:val="17"/>
  </w:num>
  <w:num w:numId="23">
    <w:abstractNumId w:val="22"/>
  </w:num>
  <w:num w:numId="24">
    <w:abstractNumId w:val="5"/>
  </w:num>
  <w:num w:numId="25">
    <w:abstractNumId w:val="32"/>
  </w:num>
  <w:num w:numId="26">
    <w:abstractNumId w:val="31"/>
  </w:num>
  <w:num w:numId="27">
    <w:abstractNumId w:val="7"/>
  </w:num>
  <w:num w:numId="28">
    <w:abstractNumId w:val="29"/>
  </w:num>
  <w:num w:numId="29">
    <w:abstractNumId w:val="3"/>
  </w:num>
  <w:num w:numId="30">
    <w:abstractNumId w:val="21"/>
  </w:num>
  <w:num w:numId="31">
    <w:abstractNumId w:val="1"/>
  </w:num>
  <w:num w:numId="32">
    <w:abstractNumId w:val="25"/>
  </w:num>
  <w:num w:numId="33">
    <w:abstractNumId w:val="33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32A37"/>
    <w:rsid w:val="0E7F290B"/>
    <w:rsid w:val="124C6F66"/>
    <w:rsid w:val="213F16CB"/>
    <w:rsid w:val="241B1F24"/>
    <w:rsid w:val="39302D08"/>
    <w:rsid w:val="420B38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994</Words>
  <Characters>1151</Characters>
  <TotalTime>11</TotalTime>
  <ScaleCrop>false</ScaleCrop>
  <LinksUpToDate>false</LinksUpToDate>
  <CharactersWithSpaces>1226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2026-04-14T02:35:00Z</dcterms:created>
  <dc:creator>Apache POI</dc:creator>
  <cp:lastModifiedBy>郑楠</cp:lastModifiedBy>
  <dcterms:modified xsi:type="dcterms:W3CDTF">2026-04-21T01:40:01Z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eyJoZGlkIjoiMzBkN2VjMDM5ZmNiMDA3MjQ5MWNhYThlOTU1ZjFlYWQiLCJ1c2VySWQiOiIxNTIxNzc1NTkzIn0=</vt:lpwstr>
  </property>
  <property fmtid="{D5CDD505-2E9C-101B-9397-08002B2CF9AE}" pid="3" name="KSOProductBuildVer">
    <vt:lpwstr>2052-12.1.0.25225</vt:lpwstr>
  </property>
  <property fmtid="{D5CDD505-2E9C-101B-9397-08002B2CF9AE}" pid="4" name="ICV">
    <vt:lpwstr>7B369A88D37A40808D5ADF2735779F2C_13</vt:lpwstr>
  </property>
</Properties>
</file>