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5" w:firstLineChars="98"/>
        <w:rPr>
          <w:rFonts w:hint="eastAsia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1</w:t>
      </w:r>
    </w:p>
    <w:p>
      <w:pPr>
        <w:ind w:firstLine="315" w:firstLineChars="98"/>
        <w:jc w:val="center"/>
        <w:rPr>
          <w:b/>
          <w:sz w:val="30"/>
          <w:szCs w:val="30"/>
        </w:rPr>
      </w:pPr>
      <w:bookmarkStart w:id="2" w:name="_GoBack"/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年云南省</w:t>
      </w:r>
      <w:r>
        <w:rPr>
          <w:rFonts w:hint="eastAsia"/>
          <w:b/>
          <w:sz w:val="32"/>
          <w:szCs w:val="32"/>
          <w:lang w:val="en-US" w:eastAsia="zh-CN"/>
        </w:rPr>
        <w:t>水质</w:t>
      </w:r>
      <w:r>
        <w:rPr>
          <w:rFonts w:hint="eastAsia"/>
          <w:b/>
          <w:sz w:val="32"/>
          <w:szCs w:val="32"/>
        </w:rPr>
        <w:t>检测质量评价</w:t>
      </w:r>
      <w:r>
        <w:rPr>
          <w:rFonts w:hint="eastAsia"/>
          <w:b/>
          <w:sz w:val="32"/>
          <w:szCs w:val="32"/>
          <w:lang w:val="en-US" w:eastAsia="zh-CN"/>
        </w:rPr>
        <w:t>服务</w:t>
      </w:r>
      <w:r>
        <w:rPr>
          <w:rFonts w:hint="eastAsia"/>
          <w:b/>
          <w:sz w:val="30"/>
          <w:szCs w:val="30"/>
        </w:rPr>
        <w:t>技术参数</w:t>
      </w:r>
    </w:p>
    <w:bookmarkEnd w:id="2"/>
    <w:p>
      <w:pPr>
        <w:pStyle w:val="5"/>
        <w:spacing w:line="360" w:lineRule="auto"/>
        <w:ind w:left="420" w:leftChars="200" w:firstLine="0" w:firstLineChars="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一、考核机构资质</w:t>
      </w:r>
    </w:p>
    <w:p>
      <w:pPr>
        <w:pStyle w:val="5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必须是中国合格评定国家认可委员会（CNAS）认可的能力验证提供者（PTP），能同时提供全部供</w:t>
      </w:r>
      <w:r>
        <w:rPr>
          <w:rFonts w:hint="eastAsia"/>
          <w:sz w:val="24"/>
          <w:lang w:val="en-US" w:eastAsia="zh-CN"/>
        </w:rPr>
        <w:t>评价</w:t>
      </w:r>
      <w:r>
        <w:rPr>
          <w:rFonts w:hint="eastAsia"/>
          <w:sz w:val="24"/>
        </w:rPr>
        <w:t>（评估）项目参数的测量审核服务，包括提供测量审核样品和结果评价报告。</w:t>
      </w:r>
    </w:p>
    <w:p>
      <w:pPr>
        <w:pStyle w:val="5"/>
        <w:spacing w:line="360" w:lineRule="auto"/>
        <w:ind w:left="0" w:leftChars="0" w:firstLine="482" w:firstLineChars="20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二、检测标准依据</w:t>
      </w:r>
    </w:p>
    <w:p>
      <w:pPr>
        <w:pStyle w:val="5"/>
        <w:spacing w:line="360" w:lineRule="auto"/>
        <w:ind w:firstLine="480"/>
        <w:rPr>
          <w:sz w:val="24"/>
        </w:rPr>
      </w:pPr>
      <w:r>
        <w:rPr>
          <w:rFonts w:hint="eastAsia"/>
          <w:sz w:val="24"/>
          <w:lang w:val="en-US" w:eastAsia="zh-CN"/>
        </w:rPr>
        <w:t>评价</w:t>
      </w:r>
      <w:r>
        <w:rPr>
          <w:rFonts w:hint="eastAsia"/>
          <w:sz w:val="24"/>
        </w:rPr>
        <w:t>样品的检测方法按照</w:t>
      </w:r>
      <w:r>
        <w:rPr>
          <w:rFonts w:hint="eastAsia"/>
          <w:sz w:val="24"/>
          <w:lang w:eastAsia="zh-CN"/>
        </w:rPr>
        <w:t>《</w:t>
      </w:r>
      <w:r>
        <w:rPr>
          <w:rFonts w:hint="eastAsia"/>
          <w:sz w:val="24"/>
          <w:lang w:val="en-US" w:eastAsia="zh-CN"/>
        </w:rPr>
        <w:t>生活饮用水标准检验方法</w:t>
      </w:r>
      <w:r>
        <w:rPr>
          <w:rFonts w:hint="eastAsia"/>
          <w:sz w:val="24"/>
          <w:lang w:eastAsia="zh-CN"/>
        </w:rPr>
        <w:t>》（</w:t>
      </w:r>
      <w:r>
        <w:rPr>
          <w:rFonts w:hint="eastAsia"/>
          <w:sz w:val="24"/>
          <w:lang w:val="en-US" w:eastAsia="zh-CN"/>
        </w:rPr>
        <w:t>GB/T5750-2023)</w:t>
      </w:r>
      <w:r>
        <w:rPr>
          <w:rFonts w:hint="eastAsia"/>
          <w:sz w:val="24"/>
        </w:rPr>
        <w:t>的要求进行</w:t>
      </w:r>
    </w:p>
    <w:p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</w:t>
      </w:r>
      <w:r>
        <w:rPr>
          <w:rFonts w:hint="eastAsia"/>
          <w:b/>
          <w:bCs/>
          <w:sz w:val="24"/>
          <w:lang w:val="en-US" w:eastAsia="zh-CN"/>
        </w:rPr>
        <w:t>质量评价</w:t>
      </w:r>
      <w:r>
        <w:rPr>
          <w:rFonts w:hint="eastAsia"/>
          <w:b/>
          <w:bCs/>
          <w:sz w:val="24"/>
        </w:rPr>
        <w:t>项目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val="en-US" w:eastAsia="zh-CN"/>
        </w:rPr>
      </w:pPr>
      <w:r>
        <w:rPr>
          <w:rFonts w:hint="eastAsia" w:eastAsia="宋体"/>
          <w:sz w:val="24"/>
          <w:lang w:val="en-US" w:eastAsia="zh-CN"/>
        </w:rPr>
        <w:t>饮用水中“汞”的</w:t>
      </w:r>
      <w:r>
        <w:rPr>
          <w:rFonts w:hint="eastAsia"/>
          <w:sz w:val="24"/>
          <w:lang w:val="en-US" w:eastAsia="zh-CN"/>
        </w:rPr>
        <w:t>检测，详见下表。</w:t>
      </w:r>
    </w:p>
    <w:p>
      <w:pPr>
        <w:spacing w:line="360" w:lineRule="auto"/>
        <w:jc w:val="center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饮用水检测质量评价</w:t>
      </w:r>
      <w:r>
        <w:rPr>
          <w:rFonts w:hint="eastAsia"/>
          <w:b/>
          <w:bCs/>
          <w:sz w:val="24"/>
          <w:lang w:val="en-US" w:eastAsia="zh-CN"/>
        </w:rPr>
        <w:t>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8"/>
        <w:gridCol w:w="1996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数量（份）</w:t>
            </w:r>
          </w:p>
        </w:tc>
        <w:tc>
          <w:tcPr>
            <w:tcW w:w="38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邮寄地点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vertAlign w:val="baseline"/>
                <w:lang w:val="en-US" w:eastAsia="zh-CN"/>
              </w:rPr>
              <w:t>汞</w:t>
            </w:r>
          </w:p>
        </w:tc>
        <w:tc>
          <w:tcPr>
            <w:tcW w:w="19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82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vertAlign w:val="baseline"/>
                <w:lang w:val="en-US" w:eastAsia="zh-CN"/>
              </w:rPr>
              <w:t>云南省16个州（市）疾控</w:t>
            </w:r>
          </w:p>
        </w:tc>
      </w:tr>
    </w:tbl>
    <w:p>
      <w:pPr>
        <w:spacing w:line="360" w:lineRule="auto"/>
        <w:ind w:firstLine="241" w:firstLineChars="100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四、</w:t>
      </w:r>
      <w:r>
        <w:rPr>
          <w:rFonts w:hint="eastAsia"/>
          <w:b/>
          <w:sz w:val="24"/>
          <w:lang w:val="en-US" w:eastAsia="zh-CN"/>
        </w:rPr>
        <w:t>质量评价</w:t>
      </w:r>
      <w:r>
        <w:rPr>
          <w:rFonts w:hint="eastAsia"/>
          <w:b/>
          <w:sz w:val="24"/>
        </w:rPr>
        <w:t>样品及相关要求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1、</w:t>
      </w:r>
      <w:r>
        <w:rPr>
          <w:rFonts w:hint="eastAsia"/>
          <w:sz w:val="24"/>
          <w:lang w:val="en-US" w:eastAsia="zh-CN"/>
        </w:rPr>
        <w:t>质量评价</w:t>
      </w:r>
      <w:r>
        <w:rPr>
          <w:rFonts w:hint="eastAsia"/>
          <w:sz w:val="24"/>
        </w:rPr>
        <w:t>样品</w:t>
      </w:r>
      <w:r>
        <w:rPr>
          <w:rFonts w:hint="eastAsia"/>
          <w:sz w:val="24"/>
          <w:lang w:val="en-US" w:eastAsia="zh-CN"/>
        </w:rPr>
        <w:t>必须为</w:t>
      </w:r>
      <w:r>
        <w:rPr>
          <w:rFonts w:hint="eastAsia"/>
          <w:sz w:val="24"/>
        </w:rPr>
        <w:t>测量审核样品，样品保证在有效期内；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2、收到</w:t>
      </w:r>
      <w:r>
        <w:rPr>
          <w:rFonts w:hint="eastAsia"/>
          <w:sz w:val="24"/>
          <w:lang w:val="en-US" w:eastAsia="zh-CN"/>
        </w:rPr>
        <w:t>参加质量评价单位</w:t>
      </w:r>
      <w:r>
        <w:rPr>
          <w:rFonts w:hint="eastAsia"/>
          <w:sz w:val="24"/>
        </w:rPr>
        <w:t>的申请后，24小时内寄出</w:t>
      </w:r>
      <w:r>
        <w:rPr>
          <w:rFonts w:hint="eastAsia"/>
          <w:sz w:val="24"/>
          <w:lang w:val="en-US" w:eastAsia="zh-CN"/>
        </w:rPr>
        <w:t>质量评价</w:t>
      </w:r>
      <w:r>
        <w:rPr>
          <w:rFonts w:hint="eastAsia"/>
          <w:sz w:val="24"/>
        </w:rPr>
        <w:t>样品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样品直接邮寄到申请单位</w:t>
      </w:r>
      <w:r>
        <w:rPr>
          <w:rFonts w:hint="eastAsia"/>
          <w:sz w:val="24"/>
          <w:lang w:eastAsia="zh-CN"/>
        </w:rPr>
        <w:t>），</w:t>
      </w:r>
      <w:r>
        <w:rPr>
          <w:rFonts w:hint="eastAsia"/>
          <w:sz w:val="24"/>
        </w:rPr>
        <w:t>同时发放相应的作业指导书、限定检测时限和提出结果反馈的要求；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3、所有</w:t>
      </w:r>
      <w:r>
        <w:rPr>
          <w:rFonts w:hint="eastAsia"/>
          <w:sz w:val="24"/>
          <w:lang w:val="en-US" w:eastAsia="zh-CN"/>
        </w:rPr>
        <w:t>质量评价</w:t>
      </w:r>
      <w:r>
        <w:rPr>
          <w:rFonts w:hint="eastAsia"/>
          <w:sz w:val="24"/>
        </w:rPr>
        <w:t>样品的包装、保存温度、运输方式和</w:t>
      </w:r>
      <w:r>
        <w:rPr>
          <w:rFonts w:hint="eastAsia"/>
          <w:sz w:val="24"/>
          <w:lang w:val="en-US" w:eastAsia="zh-CN"/>
        </w:rPr>
        <w:t>其他</w:t>
      </w:r>
      <w:r>
        <w:rPr>
          <w:rFonts w:hint="eastAsia"/>
          <w:sz w:val="24"/>
        </w:rPr>
        <w:t>条件</w:t>
      </w:r>
      <w:r>
        <w:rPr>
          <w:rFonts w:hint="eastAsia"/>
          <w:sz w:val="24"/>
          <w:lang w:val="en-US" w:eastAsia="zh-CN"/>
        </w:rPr>
        <w:t>要</w:t>
      </w:r>
      <w:r>
        <w:rPr>
          <w:rFonts w:hint="eastAsia"/>
          <w:sz w:val="24"/>
        </w:rPr>
        <w:t>符合测量审核的要求；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4、</w:t>
      </w:r>
      <w:r>
        <w:rPr>
          <w:rFonts w:hint="eastAsia"/>
          <w:sz w:val="24"/>
          <w:lang w:val="en-US" w:eastAsia="zh-CN"/>
        </w:rPr>
        <w:t>质量评价</w:t>
      </w:r>
      <w:r>
        <w:rPr>
          <w:rFonts w:hint="eastAsia"/>
          <w:sz w:val="24"/>
        </w:rPr>
        <w:t>样品在运输途中发生损坏、丢失</w:t>
      </w:r>
      <w:r>
        <w:rPr>
          <w:rFonts w:hint="eastAsia"/>
          <w:sz w:val="24"/>
          <w:lang w:val="en-US" w:eastAsia="zh-CN"/>
        </w:rPr>
        <w:t>及其他</w:t>
      </w:r>
      <w:r>
        <w:rPr>
          <w:rFonts w:hint="eastAsia"/>
          <w:sz w:val="24"/>
        </w:rPr>
        <w:t>无法检测情况，需在规定时间内重新免费寄送样品到指定地点；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5、在规定时间内将测量审核评价报告</w:t>
      </w:r>
      <w:r>
        <w:rPr>
          <w:rFonts w:hint="eastAsia"/>
          <w:sz w:val="24"/>
          <w:lang w:val="en-US" w:eastAsia="zh-CN"/>
        </w:rPr>
        <w:t>和质量评价结果</w:t>
      </w:r>
      <w:r>
        <w:rPr>
          <w:rFonts w:hint="eastAsia"/>
          <w:sz w:val="24"/>
        </w:rPr>
        <w:t>反馈给云南省</w:t>
      </w:r>
      <w:r>
        <w:rPr>
          <w:rFonts w:hint="eastAsia"/>
          <w:sz w:val="24"/>
          <w:lang w:eastAsia="zh-CN"/>
        </w:rPr>
        <w:t>疾病预防控制中心（云南省预防医学科学院）。</w:t>
      </w:r>
    </w:p>
    <w:p>
      <w:pPr>
        <w:adjustRightInd w:val="0"/>
        <w:snapToGrid w:val="0"/>
        <w:spacing w:line="360" w:lineRule="auto"/>
        <w:ind w:left="420" w:leftChars="20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五、服务承诺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在工作时间内通讯畅通，及时为</w:t>
      </w:r>
      <w:r>
        <w:rPr>
          <w:rFonts w:hint="eastAsia"/>
          <w:sz w:val="24"/>
          <w:lang w:val="en-US" w:eastAsia="zh-CN"/>
        </w:rPr>
        <w:t>参与质量评价的</w:t>
      </w:r>
      <w:r>
        <w:rPr>
          <w:rFonts w:hint="eastAsia"/>
          <w:sz w:val="24"/>
        </w:rPr>
        <w:t>单位提供咨询和服务。</w:t>
      </w:r>
      <w:r>
        <w:rPr>
          <w:rFonts w:hint="eastAsia"/>
          <w:sz w:val="24"/>
        </w:rPr>
        <w:br w:type="page"/>
      </w: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2</w:t>
      </w:r>
    </w:p>
    <w:p>
      <w:pPr>
        <w:ind w:firstLine="315" w:firstLineChars="98"/>
        <w:jc w:val="center"/>
        <w:rPr>
          <w:rFonts w:hint="eastAsia" w:eastAsia="宋体" w:cs="Times New Roman"/>
          <w:b/>
          <w:sz w:val="32"/>
          <w:szCs w:val="32"/>
        </w:rPr>
      </w:pPr>
      <w:r>
        <w:rPr>
          <w:rFonts w:hint="eastAsia" w:eastAsia="宋体" w:cs="Times New Roman"/>
          <w:b/>
          <w:sz w:val="32"/>
          <w:szCs w:val="32"/>
        </w:rPr>
        <w:t>202</w:t>
      </w:r>
      <w:r>
        <w:rPr>
          <w:rFonts w:hint="eastAsia" w:eastAsia="宋体" w:cs="Times New Roman"/>
          <w:b/>
          <w:sz w:val="32"/>
          <w:szCs w:val="32"/>
          <w:lang w:val="en-US" w:eastAsia="zh-CN"/>
        </w:rPr>
        <w:t>6</w:t>
      </w:r>
      <w:r>
        <w:rPr>
          <w:rFonts w:hint="eastAsia" w:eastAsia="宋体" w:cs="Times New Roman"/>
          <w:b/>
          <w:sz w:val="32"/>
          <w:szCs w:val="32"/>
        </w:rPr>
        <w:t>年云南省</w:t>
      </w:r>
      <w:r>
        <w:rPr>
          <w:rFonts w:hint="eastAsia" w:eastAsia="宋体" w:cs="Times New Roman"/>
          <w:b/>
          <w:sz w:val="32"/>
          <w:szCs w:val="32"/>
          <w:lang w:val="en-US" w:eastAsia="zh-CN"/>
        </w:rPr>
        <w:t>水质</w:t>
      </w:r>
      <w:r>
        <w:rPr>
          <w:rFonts w:hint="eastAsia" w:eastAsia="宋体" w:cs="Times New Roman"/>
          <w:b/>
          <w:sz w:val="32"/>
          <w:szCs w:val="32"/>
        </w:rPr>
        <w:t>检测质量评价服务经费预算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eastAsia="宋体" w:cs="Times New Roman"/>
          <w:sz w:val="24"/>
          <w:lang w:val="en-US" w:eastAsia="zh-CN"/>
        </w:rPr>
      </w:pPr>
      <w:r>
        <w:rPr>
          <w:rFonts w:hint="eastAsia" w:eastAsia="宋体" w:cs="Times New Roman"/>
          <w:sz w:val="24"/>
          <w:lang w:val="en-US" w:eastAsia="zh-CN"/>
        </w:rPr>
        <w:t>预计水中“汞”的检测质量评价服务16份，1200元/份，共需经费1.92万元。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sz w:val="24"/>
          <w:szCs w:val="24"/>
        </w:rPr>
      </w:pPr>
      <w:bookmarkStart w:id="0" w:name="OLE_LINK40"/>
      <w:bookmarkStart w:id="1" w:name="OLE_LINK39"/>
      <w:r>
        <w:rPr>
          <w:rFonts w:hint="eastAsia"/>
          <w:sz w:val="24"/>
          <w:szCs w:val="24"/>
          <w:lang w:val="en-US" w:eastAsia="zh-CN"/>
        </w:rPr>
        <w:t>经费</w:t>
      </w:r>
      <w:r>
        <w:rPr>
          <w:sz w:val="24"/>
          <w:szCs w:val="24"/>
        </w:rPr>
        <w:t>预算明细表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654"/>
        <w:gridCol w:w="1690"/>
        <w:gridCol w:w="3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单价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3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服务费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1200元/份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16份</w:t>
            </w:r>
          </w:p>
        </w:tc>
        <w:tc>
          <w:tcPr>
            <w:tcW w:w="3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19200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合计</w:t>
            </w:r>
          </w:p>
        </w:tc>
        <w:tc>
          <w:tcPr>
            <w:tcW w:w="66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eastAsia="宋体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19200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（壹万玖仟贰佰元整）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预算说明</w:t>
            </w:r>
          </w:p>
        </w:tc>
        <w:tc>
          <w:tcPr>
            <w:tcW w:w="66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每份服务包括：提供水中“汞”的测量审核样品1份，测试指导书1份和测量审核报告1份。</w:t>
            </w:r>
          </w:p>
        </w:tc>
      </w:tr>
      <w:bookmarkEnd w:id="0"/>
      <w:bookmarkEnd w:id="1"/>
    </w:tbl>
    <w:p>
      <w:pPr>
        <w:adjustRightInd w:val="0"/>
        <w:snapToGrid w:val="0"/>
        <w:spacing w:line="360" w:lineRule="auto"/>
        <w:rPr>
          <w:rFonts w:hint="eastAsia"/>
          <w:sz w:val="24"/>
        </w:rPr>
      </w:pPr>
    </w:p>
    <w:p/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ZDZjZDhmMDU5ZGE5MTcyNzA4ZGE5OTJjODYyNGUifQ=="/>
  </w:docVars>
  <w:rsids>
    <w:rsidRoot w:val="79037A9B"/>
    <w:rsid w:val="468341EA"/>
    <w:rsid w:val="7903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2026-02-04T07:01:00Z</dcterms:created>
  <dc:creator>''</dc:creator>
  <cp:lastModifiedBy>''</cp:lastModifiedBy>
  <dcterms:modified xsi:type="dcterms:W3CDTF">2026-02-04T07:02:21Z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4172B681F8F741D5BD8AFC73825E3F03_11</vt:lpwstr>
  </property>
</Properties>
</file>