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4"/>
        </w:rPr>
      </w:pPr>
    </w:p>
    <w:p>
      <w:pPr>
        <w:spacing w:line="600" w:lineRule="exact"/>
        <w:jc w:val="center"/>
        <w:rPr>
          <w:rFonts w:hint="eastAsia"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36"/>
          <w:szCs w:val="36"/>
        </w:rPr>
        <w:t>云南省疾病预防控制中心采购计划表</w:t>
      </w:r>
    </w:p>
    <w:tbl>
      <w:tblPr>
        <w:tblStyle w:val="3"/>
        <w:tblW w:w="14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84"/>
        <w:gridCol w:w="2622"/>
        <w:gridCol w:w="4111"/>
        <w:gridCol w:w="765"/>
        <w:gridCol w:w="720"/>
        <w:gridCol w:w="990"/>
        <w:gridCol w:w="1320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79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ind w:firstLine="360" w:firstLineChars="1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采购部门：性艾所</w:t>
            </w:r>
          </w:p>
        </w:tc>
        <w:tc>
          <w:tcPr>
            <w:tcW w:w="48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经办人：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曾志君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日期：2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02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名称 </w:t>
            </w:r>
          </w:p>
        </w:tc>
        <w:tc>
          <w:tcPr>
            <w:tcW w:w="6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规格、技术参数、性能要求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计量单位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预算单价（元）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预算总金额（元）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交货地点/备注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DNA一代测序服务</w:t>
            </w:r>
            <w:bookmarkEnd w:id="0"/>
          </w:p>
        </w:tc>
        <w:tc>
          <w:tcPr>
            <w:tcW w:w="6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1、提供以sanger双脱氧末端终止法为测序原理的DNA测序服务，包含测序所需引物合成服务。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2、测序反应有效碱基数不少于700bp(如果扩增靶区域小于700bp，应完全覆盖扩增靶区域)。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3、非样本质量问题，扩增阳性样本测序成功率≥90%，测序色谱图文件峰形清晰地长度不低于目的片段长度的80%。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4、反馈的测序结果应包含所测序列的序列图和峰图，按客户要求命名文件，文件名能快速识别样本类别和送样批次。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5、非样本浓度问题，测序不成功的样本在不重复送样的情况可优化重测一次。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、参加过有资质机构组织的HIV基因型耐药检测能力验证并获得优秀评价，提供有关资质认证材料和能力验证证明。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、供应商负责按用户要求提供免费分次上门取样服务，并负责免费低温运输至测序点，不额外向客户收取运输费用。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、供应商须在取样后5个工作日内反馈样本检测结果。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、免费合成测序引物。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、供应商每月1次向用户发送费用使用情况电子清单。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反应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27200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Calibri" w:hAnsi="Calibri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27200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ZDZjZDhmMDU5ZGE5MTcyNzA4ZGE5OTJjODYyNGUifQ=="/>
  </w:docVars>
  <w:rsids>
    <w:rsidRoot w:val="18AD453E"/>
    <w:rsid w:val="18A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2025-02-20T02:00:00Z</dcterms:created>
  <dc:creator>高胡兴</dc:creator>
  <cp:lastModifiedBy>高胡兴</cp:lastModifiedBy>
  <dcterms:modified xsi:type="dcterms:W3CDTF">2025-02-20T02:03:10Z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F158F3560A384845B01B9C1133AC61FB_11</vt:lpwstr>
  </property>
</Properties>
</file>