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565962">
      <w:pPr>
        <w:jc w:val="left"/>
        <w:rPr>
          <w:rFonts w:hint="eastAsia" w:ascii="方正仿宋_GBK" w:hAnsi="方正仿宋_GBK" w:eastAsia="方正仿宋_GBK" w:cs="方正仿宋_GBK"/>
          <w:b w:val="0"/>
          <w:bCs/>
          <w:sz w:val="32"/>
          <w:szCs w:val="32"/>
          <w:lang w:val="en-US" w:eastAsia="zh-CN"/>
        </w:rPr>
      </w:pPr>
      <w:r>
        <w:rPr>
          <w:rFonts w:hint="eastAsia" w:ascii="方正仿宋_GBK" w:hAnsi="方正仿宋_GBK" w:eastAsia="方正仿宋_GBK" w:cs="方正仿宋_GBK"/>
          <w:b w:val="0"/>
          <w:bCs/>
          <w:sz w:val="32"/>
          <w:szCs w:val="32"/>
          <w:lang w:eastAsia="zh-CN"/>
        </w:rPr>
        <w:t>附件</w:t>
      </w:r>
      <w:r>
        <w:rPr>
          <w:rFonts w:hint="eastAsia" w:ascii="方正仿宋_GBK" w:hAnsi="方正仿宋_GBK" w:eastAsia="方正仿宋_GBK" w:cs="方正仿宋_GBK"/>
          <w:b w:val="0"/>
          <w:bCs/>
          <w:sz w:val="32"/>
          <w:szCs w:val="32"/>
          <w:lang w:val="en-US" w:eastAsia="zh-CN"/>
        </w:rPr>
        <w:t>5</w:t>
      </w:r>
    </w:p>
    <w:p w14:paraId="7CF60499">
      <w:pPr>
        <w:jc w:val="center"/>
        <w:rPr>
          <w:rFonts w:ascii="方正小标宋_GBK" w:eastAsia="方正小标宋_GBK"/>
          <w:b/>
          <w:sz w:val="40"/>
          <w:szCs w:val="24"/>
          <w:lang w:eastAsia="zh-CN"/>
        </w:rPr>
      </w:pPr>
      <w:r>
        <w:rPr>
          <w:rFonts w:hint="eastAsia" w:ascii="方正小标宋_GBK" w:eastAsia="方正小标宋_GBK"/>
          <w:b/>
          <w:sz w:val="40"/>
          <w:szCs w:val="24"/>
          <w:lang w:eastAsia="zh-CN"/>
        </w:rPr>
        <w:t>云南省2026年心血管病高危人群早期筛查</w:t>
      </w:r>
    </w:p>
    <w:p w14:paraId="051B5906">
      <w:pPr>
        <w:jc w:val="center"/>
        <w:rPr>
          <w:rFonts w:ascii="方正小标宋_GBK" w:eastAsia="方正小标宋_GBK"/>
          <w:b/>
          <w:sz w:val="40"/>
          <w:szCs w:val="24"/>
          <w:lang w:eastAsia="zh-CN"/>
        </w:rPr>
      </w:pPr>
      <w:r>
        <w:rPr>
          <w:rFonts w:hint="eastAsia" w:ascii="方正小标宋_GBK" w:eastAsia="方正小标宋_GBK"/>
          <w:b/>
          <w:sz w:val="40"/>
          <w:szCs w:val="24"/>
          <w:lang w:eastAsia="zh-CN"/>
        </w:rPr>
        <w:t>与综合干预项目实施方案</w:t>
      </w:r>
    </w:p>
    <w:p w14:paraId="0532DCFA">
      <w:pPr>
        <w:spacing w:line="360" w:lineRule="auto"/>
        <w:ind w:firstLine="640" w:firstLineChars="200"/>
        <w:rPr>
          <w:rFonts w:ascii="仿宋_GB2312" w:eastAsia="仿宋_GB2312"/>
          <w:sz w:val="32"/>
          <w:szCs w:val="24"/>
          <w:lang w:eastAsia="zh-CN"/>
        </w:rPr>
      </w:pPr>
    </w:p>
    <w:p w14:paraId="0B54133A">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为推进健康云南心脑血管疾病防治行动，确保心血管高危人群早期筛查与综合干预项目工作的顺利实施，现根据国家《心血管病高危人群早期筛查与综合干预项目技术方案》要求，制定本方案。</w:t>
      </w:r>
    </w:p>
    <w:p w14:paraId="33725896">
      <w:pPr>
        <w:spacing w:line="360" w:lineRule="auto"/>
        <w:ind w:firstLine="643" w:firstLineChars="200"/>
        <w:rPr>
          <w:rFonts w:ascii="方正黑体_GBK" w:eastAsia="方正黑体_GBK"/>
          <w:b/>
          <w:sz w:val="32"/>
          <w:szCs w:val="24"/>
          <w:lang w:eastAsia="zh-CN"/>
        </w:rPr>
      </w:pPr>
      <w:r>
        <w:rPr>
          <w:rFonts w:hint="eastAsia" w:ascii="方正黑体_GBK" w:eastAsia="方正黑体_GBK"/>
          <w:b/>
          <w:sz w:val="32"/>
          <w:szCs w:val="24"/>
          <w:lang w:eastAsia="zh-CN"/>
        </w:rPr>
        <w:t>一、项目目标</w:t>
      </w:r>
    </w:p>
    <w:p w14:paraId="44BD3507">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对符合条件的人群开展心血管疾病筛查，完成高危人群早期筛查与干预随访管理任务。</w:t>
      </w:r>
    </w:p>
    <w:p w14:paraId="29A832C6">
      <w:pPr>
        <w:spacing w:line="360" w:lineRule="auto"/>
        <w:ind w:firstLine="643" w:firstLineChars="200"/>
        <w:rPr>
          <w:rFonts w:ascii="方正黑体_GBK" w:eastAsia="方正黑体_GBK"/>
          <w:b/>
          <w:sz w:val="32"/>
          <w:szCs w:val="24"/>
          <w:lang w:eastAsia="zh-CN"/>
        </w:rPr>
      </w:pPr>
      <w:r>
        <w:rPr>
          <w:rFonts w:hint="eastAsia" w:ascii="方正黑体_GBK" w:eastAsia="方正黑体_GBK"/>
          <w:b/>
          <w:sz w:val="32"/>
          <w:szCs w:val="24"/>
          <w:lang w:eastAsia="zh-CN"/>
        </w:rPr>
        <w:t>二、覆盖范围与任务数</w:t>
      </w:r>
    </w:p>
    <w:p w14:paraId="34B0989E">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（一）覆盖范围</w:t>
      </w:r>
    </w:p>
    <w:p w14:paraId="75DBB232">
      <w:pPr>
        <w:spacing w:line="360" w:lineRule="auto"/>
        <w:ind w:firstLine="640" w:firstLineChars="200"/>
        <w:rPr>
          <w:rFonts w:hint="eastAsia" w:ascii="方正仿宋_GBK" w:hAnsi="Arial" w:eastAsia="方正仿宋_GBK" w:cs="Arial"/>
          <w:sz w:val="32"/>
          <w:szCs w:val="24"/>
          <w:lang w:eastAsia="zh-CN"/>
        </w:rPr>
      </w:pPr>
      <w:r>
        <w:rPr>
          <w:rFonts w:hint="eastAsia" w:ascii="方正仿宋_GBK" w:eastAsia="方正仿宋_GBK"/>
          <w:sz w:val="32"/>
          <w:szCs w:val="24"/>
          <w:lang w:eastAsia="zh-CN"/>
        </w:rPr>
        <w:t>昆明市五华区、盘龙区，昭通市永善县、盐津县，曲靖市麒麟区，玉溪市新平县，保山市腾冲市、施甸县，楚雄州姚安县、</w:t>
      </w:r>
      <w:bookmarkStart w:id="0" w:name="OLE_LINK1"/>
      <w:r>
        <w:rPr>
          <w:rFonts w:hint="eastAsia" w:ascii="方正仿宋_GBK" w:eastAsia="方正仿宋_GBK"/>
          <w:sz w:val="32"/>
          <w:szCs w:val="24"/>
          <w:lang w:eastAsia="zh-CN"/>
        </w:rPr>
        <w:t>元谋县</w:t>
      </w:r>
      <w:bookmarkEnd w:id="0"/>
      <w:r>
        <w:rPr>
          <w:rFonts w:hint="eastAsia" w:ascii="方正仿宋_GBK" w:eastAsia="方正仿宋_GBK"/>
          <w:sz w:val="32"/>
          <w:szCs w:val="24"/>
          <w:lang w:eastAsia="zh-CN"/>
        </w:rPr>
        <w:t>，红河州建水县，文山州文山市，普洱市澜沧县、</w:t>
      </w:r>
      <w:bookmarkStart w:id="1" w:name="OLE_LINK2"/>
      <w:r>
        <w:rPr>
          <w:rFonts w:hint="eastAsia" w:ascii="方正仿宋_GBK" w:eastAsia="方正仿宋_GBK"/>
          <w:sz w:val="32"/>
          <w:szCs w:val="24"/>
          <w:lang w:eastAsia="zh-CN"/>
        </w:rPr>
        <w:t>景谷县</w:t>
      </w:r>
      <w:bookmarkEnd w:id="1"/>
      <w:r>
        <w:rPr>
          <w:rFonts w:hint="eastAsia" w:ascii="方正仿宋_GBK" w:eastAsia="方正仿宋_GBK"/>
          <w:sz w:val="32"/>
          <w:szCs w:val="24"/>
          <w:lang w:eastAsia="zh-CN"/>
        </w:rPr>
        <w:t>，大理州云龙县、南涧县，怒江州泸水市，迪庆州香格里拉市，临沧市永德县，其中</w:t>
      </w:r>
      <w:r>
        <w:rPr>
          <w:rFonts w:hint="eastAsia" w:ascii="方正仿宋_GBK" w:hAnsi="Arial" w:eastAsia="方正仿宋_GBK" w:cs="Arial"/>
          <w:sz w:val="32"/>
          <w:szCs w:val="24"/>
          <w:lang w:eastAsia="zh-CN"/>
        </w:rPr>
        <w:t>元谋县、景谷县为2026年新增项目点。</w:t>
      </w:r>
    </w:p>
    <w:p w14:paraId="08502F57">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（二）任务数</w:t>
      </w:r>
    </w:p>
    <w:p w14:paraId="0734C3CC">
      <w:pPr>
        <w:spacing w:line="360" w:lineRule="auto"/>
        <w:ind w:firstLine="640" w:firstLineChars="200"/>
        <w:rPr>
          <w:rFonts w:ascii="方正仿宋_GBK" w:eastAsia="方正仿宋_GBK"/>
          <w:color w:val="auto"/>
          <w:sz w:val="32"/>
          <w:szCs w:val="24"/>
          <w:lang w:eastAsia="zh-CN"/>
        </w:rPr>
      </w:pPr>
      <w:r>
        <w:rPr>
          <w:rFonts w:hint="eastAsia" w:ascii="方正仿宋_GBK" w:eastAsia="方正仿宋_GBK"/>
          <w:sz w:val="32"/>
          <w:szCs w:val="24"/>
          <w:lang w:eastAsia="zh-CN"/>
        </w:rPr>
        <w:t>初筛任务数10</w:t>
      </w:r>
      <w:r>
        <w:rPr>
          <w:rFonts w:ascii="方正仿宋_GBK" w:eastAsia="方正仿宋_GBK"/>
          <w:sz w:val="32"/>
          <w:szCs w:val="24"/>
          <w:lang w:eastAsia="zh-CN"/>
        </w:rPr>
        <w:t>000</w:t>
      </w:r>
      <w:r>
        <w:rPr>
          <w:rFonts w:hint="eastAsia" w:ascii="方正仿宋_GBK" w:eastAsia="方正仿宋_GBK"/>
          <w:sz w:val="32"/>
          <w:szCs w:val="24"/>
          <w:lang w:eastAsia="zh-CN"/>
        </w:rPr>
        <w:t>人，高危对象干预任务数2</w:t>
      </w:r>
      <w:r>
        <w:rPr>
          <w:rFonts w:ascii="方正仿宋_GBK" w:eastAsia="方正仿宋_GBK"/>
          <w:sz w:val="32"/>
          <w:szCs w:val="24"/>
          <w:lang w:eastAsia="zh-CN"/>
        </w:rPr>
        <w:t>50</w:t>
      </w:r>
      <w:r>
        <w:rPr>
          <w:rFonts w:hint="eastAsia" w:ascii="方正仿宋_GBK" w:eastAsia="方正仿宋_GBK"/>
          <w:sz w:val="32"/>
          <w:szCs w:val="24"/>
          <w:lang w:eastAsia="zh-CN"/>
        </w:rPr>
        <w:t>0人，长期随访任务数16476人，各项目点具体任务</w:t>
      </w:r>
      <w:r>
        <w:rPr>
          <w:rFonts w:hint="eastAsia" w:ascii="方正仿宋_GBK" w:eastAsia="方正仿宋_GBK"/>
          <w:color w:val="auto"/>
          <w:sz w:val="32"/>
          <w:szCs w:val="24"/>
          <w:lang w:eastAsia="zh-CN"/>
        </w:rPr>
        <w:t>数见下表。</w:t>
      </w:r>
    </w:p>
    <w:p w14:paraId="0E481C83">
      <w:pPr>
        <w:spacing w:line="360" w:lineRule="auto"/>
        <w:jc w:val="center"/>
        <w:rPr>
          <w:rFonts w:ascii="方正仿宋_GBK" w:eastAsia="方正仿宋_GBK"/>
          <w:color w:val="auto"/>
          <w:sz w:val="32"/>
          <w:szCs w:val="24"/>
          <w:lang w:eastAsia="zh-CN"/>
        </w:rPr>
      </w:pPr>
      <w:r>
        <w:rPr>
          <w:rFonts w:hint="eastAsia" w:ascii="方正仿宋_GBK" w:eastAsia="方正仿宋_GBK"/>
          <w:color w:val="auto"/>
          <w:sz w:val="32"/>
          <w:szCs w:val="24"/>
          <w:lang w:eastAsia="zh-CN"/>
        </w:rPr>
        <w:t>云南省2026年心血管病高危人群筛查项目任务数</w:t>
      </w:r>
      <w:r>
        <w:rPr>
          <w:rFonts w:hint="eastAsia" w:ascii="方正仿宋_GBK" w:hAnsi="宋体" w:eastAsia="方正仿宋_GBK" w:cs="宋体"/>
          <w:color w:val="auto"/>
          <w:sz w:val="24"/>
          <w:szCs w:val="24"/>
          <w:lang w:eastAsia="zh-CN"/>
        </w:rPr>
        <w:t>（人）</w:t>
      </w:r>
    </w:p>
    <w:tbl>
      <w:tblPr>
        <w:tblStyle w:val="9"/>
        <w:tblW w:w="512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592"/>
        <w:gridCol w:w="1302"/>
        <w:gridCol w:w="1616"/>
        <w:gridCol w:w="2041"/>
        <w:gridCol w:w="2186"/>
      </w:tblGrid>
      <w:tr w14:paraId="4C9D22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8" w:hRule="atLeast"/>
          <w:jc w:val="center"/>
        </w:trPr>
        <w:tc>
          <w:tcPr>
            <w:tcW w:w="911" w:type="pct"/>
            <w:vAlign w:val="center"/>
          </w:tcPr>
          <w:p w14:paraId="7F7A984A">
            <w:pPr>
              <w:spacing w:line="360" w:lineRule="exact"/>
              <w:jc w:val="center"/>
              <w:rPr>
                <w:rFonts w:hint="eastAsia" w:ascii="方正仿宋_GBK" w:hAnsi="宋体" w:eastAsia="方正仿宋_GBK" w:cs="宋体"/>
                <w:color w:val="auto"/>
                <w:sz w:val="24"/>
                <w:szCs w:val="24"/>
              </w:rPr>
            </w:pPr>
            <w:bookmarkStart w:id="2" w:name="OLE_LINK7"/>
            <w:r>
              <w:rPr>
                <w:rFonts w:hint="eastAsia" w:ascii="方正仿宋_GBK" w:hAnsi="宋体" w:eastAsia="方正仿宋_GBK" w:cs="宋体"/>
                <w:color w:val="auto"/>
                <w:sz w:val="24"/>
                <w:szCs w:val="24"/>
                <w:lang w:eastAsia="zh-CN"/>
              </w:rPr>
              <w:t>项目点</w:t>
            </w:r>
          </w:p>
        </w:tc>
        <w:tc>
          <w:tcPr>
            <w:tcW w:w="745" w:type="pct"/>
            <w:vAlign w:val="center"/>
          </w:tcPr>
          <w:p w14:paraId="1D3152C2">
            <w:pPr>
              <w:spacing w:line="360" w:lineRule="exact"/>
              <w:jc w:val="center"/>
              <w:rPr>
                <w:rFonts w:hint="eastAsia" w:ascii="方正仿宋_GBK" w:hAnsi="宋体" w:eastAsia="方正仿宋_GBK" w:cs="宋体"/>
                <w:color w:val="auto"/>
                <w:sz w:val="24"/>
                <w:szCs w:val="24"/>
              </w:rPr>
            </w:pPr>
            <w:r>
              <w:rPr>
                <w:rFonts w:hint="eastAsia" w:ascii="方正仿宋_GBK" w:hAnsi="宋体" w:eastAsia="方正仿宋_GBK" w:cs="宋体"/>
                <w:color w:val="auto"/>
                <w:sz w:val="24"/>
                <w:szCs w:val="24"/>
                <w:lang w:eastAsia="zh-CN"/>
              </w:rPr>
              <w:t>参与时间</w:t>
            </w:r>
          </w:p>
        </w:tc>
        <w:tc>
          <w:tcPr>
            <w:tcW w:w="925" w:type="pct"/>
            <w:vAlign w:val="center"/>
          </w:tcPr>
          <w:p w14:paraId="0840AA55">
            <w:pPr>
              <w:spacing w:line="360" w:lineRule="exact"/>
              <w:jc w:val="center"/>
              <w:rPr>
                <w:rFonts w:hint="eastAsia" w:ascii="方正仿宋_GBK" w:hAnsi="宋体" w:eastAsia="方正仿宋_GBK" w:cs="宋体"/>
                <w:color w:val="auto"/>
                <w:sz w:val="24"/>
                <w:szCs w:val="24"/>
              </w:rPr>
            </w:pPr>
            <w:r>
              <w:rPr>
                <w:rFonts w:hint="eastAsia" w:ascii="方正仿宋_GBK" w:hAnsi="宋体" w:eastAsia="方正仿宋_GBK" w:cs="宋体"/>
                <w:color w:val="auto"/>
                <w:sz w:val="24"/>
                <w:szCs w:val="24"/>
              </w:rPr>
              <w:t>初筛</w:t>
            </w:r>
            <w:r>
              <w:rPr>
                <w:rFonts w:hint="eastAsia" w:ascii="方正仿宋_GBK" w:hAnsi="宋体" w:eastAsia="方正仿宋_GBK" w:cs="宋体"/>
                <w:color w:val="auto"/>
                <w:sz w:val="24"/>
                <w:szCs w:val="24"/>
                <w:lang w:eastAsia="zh-CN"/>
              </w:rPr>
              <w:t>任务</w:t>
            </w:r>
            <w:r>
              <w:rPr>
                <w:rFonts w:hint="eastAsia" w:ascii="方正仿宋_GBK" w:hAnsi="宋体" w:eastAsia="方正仿宋_GBK" w:cs="宋体"/>
                <w:color w:val="auto"/>
                <w:sz w:val="24"/>
                <w:szCs w:val="24"/>
              </w:rPr>
              <w:t>数</w:t>
            </w:r>
          </w:p>
        </w:tc>
        <w:tc>
          <w:tcPr>
            <w:tcW w:w="1168" w:type="pct"/>
            <w:vAlign w:val="center"/>
          </w:tcPr>
          <w:p w14:paraId="33D327CA">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高危干预任务数</w:t>
            </w:r>
          </w:p>
        </w:tc>
        <w:tc>
          <w:tcPr>
            <w:tcW w:w="1251" w:type="pct"/>
            <w:vAlign w:val="center"/>
          </w:tcPr>
          <w:p w14:paraId="0EF0F2BE">
            <w:pPr>
              <w:spacing w:line="360" w:lineRule="exact"/>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长期随访任务数</w:t>
            </w:r>
            <w:r>
              <w:rPr>
                <w:rFonts w:hint="eastAsia" w:ascii="仿宋_GB2312" w:hAnsi="等线" w:eastAsia="仿宋_GB2312" w:cs="仿宋_GB2312"/>
                <w:sz w:val="24"/>
                <w:szCs w:val="24"/>
                <w:lang w:eastAsia="zh-CN" w:bidi="ar"/>
              </w:rPr>
              <w:t>*</w:t>
            </w:r>
          </w:p>
        </w:tc>
      </w:tr>
      <w:tr w14:paraId="0DA8E1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15D521C5">
            <w:pPr>
              <w:spacing w:line="360" w:lineRule="exact"/>
              <w:jc w:val="center"/>
              <w:rPr>
                <w:rFonts w:hint="eastAsia" w:ascii="方正仿宋_GBK" w:hAnsi="宋体" w:eastAsia="方正仿宋_GBK" w:cs="宋体"/>
                <w:color w:val="auto"/>
                <w:sz w:val="24"/>
                <w:szCs w:val="24"/>
              </w:rPr>
            </w:pPr>
            <w:r>
              <w:rPr>
                <w:rFonts w:hint="eastAsia" w:ascii="方正仿宋_GBK" w:hAnsi="等线" w:eastAsia="方正仿宋_GBK" w:cs="仿宋_GB2312"/>
                <w:color w:val="auto"/>
                <w:sz w:val="24"/>
                <w:szCs w:val="24"/>
                <w:lang w:eastAsia="zh-CN" w:bidi="ar"/>
              </w:rPr>
              <w:t>五华区</w:t>
            </w:r>
          </w:p>
        </w:tc>
        <w:tc>
          <w:tcPr>
            <w:tcW w:w="745" w:type="pct"/>
            <w:noWrap/>
          </w:tcPr>
          <w:p w14:paraId="2C7D4F38">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2015</w:t>
            </w:r>
          </w:p>
        </w:tc>
        <w:tc>
          <w:tcPr>
            <w:tcW w:w="925" w:type="pct"/>
            <w:noWrap/>
          </w:tcPr>
          <w:p w14:paraId="5E54EA37">
            <w:pPr>
              <w:spacing w:line="360" w:lineRule="exact"/>
              <w:jc w:val="center"/>
              <w:rPr>
                <w:rFonts w:hint="eastAsia" w:ascii="方正仿宋_GBK" w:hAnsi="宋体" w:eastAsia="方正仿宋_GBK" w:cs="宋体"/>
                <w:color w:val="auto"/>
                <w:sz w:val="24"/>
                <w:szCs w:val="24"/>
                <w:lang w:eastAsia="zh-CN"/>
              </w:rPr>
            </w:pPr>
          </w:p>
        </w:tc>
        <w:tc>
          <w:tcPr>
            <w:tcW w:w="1168" w:type="pct"/>
            <w:noWrap/>
          </w:tcPr>
          <w:p w14:paraId="7AAA15C5">
            <w:pPr>
              <w:spacing w:line="360" w:lineRule="exact"/>
              <w:jc w:val="center"/>
              <w:rPr>
                <w:rFonts w:hint="eastAsia" w:ascii="方正仿宋_GBK" w:hAnsi="宋体" w:eastAsia="方正仿宋_GBK" w:cs="宋体"/>
                <w:color w:val="auto"/>
                <w:sz w:val="24"/>
                <w:szCs w:val="24"/>
                <w:lang w:eastAsia="zh-CN"/>
              </w:rPr>
            </w:pPr>
          </w:p>
        </w:tc>
        <w:tc>
          <w:tcPr>
            <w:tcW w:w="1251" w:type="pct"/>
            <w:vAlign w:val="center"/>
          </w:tcPr>
          <w:p w14:paraId="554686A9">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1150</w:t>
            </w:r>
          </w:p>
        </w:tc>
      </w:tr>
      <w:tr w14:paraId="5411C1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22E97338">
            <w:pPr>
              <w:spacing w:line="360" w:lineRule="exact"/>
              <w:jc w:val="center"/>
              <w:rPr>
                <w:rFonts w:hint="eastAsia" w:ascii="方正仿宋_GBK" w:hAnsi="宋体" w:eastAsia="方正仿宋_GBK" w:cs="宋体"/>
                <w:color w:val="auto"/>
                <w:sz w:val="24"/>
                <w:szCs w:val="24"/>
              </w:rPr>
            </w:pPr>
            <w:r>
              <w:rPr>
                <w:rFonts w:hint="eastAsia" w:ascii="方正仿宋_GBK" w:hAnsi="等线" w:eastAsia="方正仿宋_GBK" w:cs="仿宋_GB2312"/>
                <w:color w:val="auto"/>
                <w:sz w:val="24"/>
                <w:szCs w:val="24"/>
                <w:lang w:eastAsia="zh-CN" w:bidi="ar"/>
              </w:rPr>
              <w:t>麒麟区</w:t>
            </w:r>
          </w:p>
        </w:tc>
        <w:tc>
          <w:tcPr>
            <w:tcW w:w="745" w:type="pct"/>
            <w:noWrap/>
          </w:tcPr>
          <w:p w14:paraId="70F5F778">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2015</w:t>
            </w:r>
          </w:p>
        </w:tc>
        <w:tc>
          <w:tcPr>
            <w:tcW w:w="925" w:type="pct"/>
            <w:noWrap/>
          </w:tcPr>
          <w:p w14:paraId="2723A56A">
            <w:pPr>
              <w:spacing w:line="360" w:lineRule="exact"/>
              <w:jc w:val="center"/>
              <w:rPr>
                <w:rFonts w:hint="eastAsia" w:ascii="方正仿宋_GBK" w:hAnsi="宋体" w:eastAsia="方正仿宋_GBK" w:cs="宋体"/>
                <w:color w:val="auto"/>
                <w:sz w:val="24"/>
                <w:szCs w:val="24"/>
              </w:rPr>
            </w:pPr>
          </w:p>
        </w:tc>
        <w:tc>
          <w:tcPr>
            <w:tcW w:w="1168" w:type="pct"/>
            <w:noWrap/>
          </w:tcPr>
          <w:p w14:paraId="1D8D9FDD">
            <w:pPr>
              <w:spacing w:line="360" w:lineRule="exact"/>
              <w:jc w:val="center"/>
              <w:rPr>
                <w:rFonts w:hint="eastAsia" w:ascii="方正仿宋_GBK" w:hAnsi="宋体" w:eastAsia="方正仿宋_GBK" w:cs="宋体"/>
                <w:color w:val="auto"/>
                <w:sz w:val="24"/>
                <w:szCs w:val="24"/>
              </w:rPr>
            </w:pPr>
          </w:p>
        </w:tc>
        <w:tc>
          <w:tcPr>
            <w:tcW w:w="1251" w:type="pct"/>
            <w:vAlign w:val="center"/>
          </w:tcPr>
          <w:p w14:paraId="2BF0E86F">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1850</w:t>
            </w:r>
          </w:p>
        </w:tc>
      </w:tr>
      <w:tr w14:paraId="73084A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484634F0">
            <w:pPr>
              <w:spacing w:line="360" w:lineRule="exact"/>
              <w:jc w:val="center"/>
              <w:rPr>
                <w:rFonts w:hint="eastAsia" w:ascii="方正仿宋_GBK" w:hAnsi="宋体" w:eastAsia="方正仿宋_GBK" w:cs="宋体"/>
                <w:color w:val="auto"/>
                <w:sz w:val="24"/>
                <w:szCs w:val="24"/>
              </w:rPr>
            </w:pPr>
            <w:r>
              <w:rPr>
                <w:rFonts w:hint="eastAsia" w:ascii="方正仿宋_GBK" w:hAnsi="等线" w:eastAsia="方正仿宋_GBK" w:cs="仿宋_GB2312"/>
                <w:color w:val="auto"/>
                <w:sz w:val="24"/>
                <w:szCs w:val="24"/>
                <w:lang w:eastAsia="zh-CN" w:bidi="ar"/>
              </w:rPr>
              <w:t>新平县</w:t>
            </w:r>
          </w:p>
        </w:tc>
        <w:tc>
          <w:tcPr>
            <w:tcW w:w="745" w:type="pct"/>
            <w:noWrap/>
          </w:tcPr>
          <w:p w14:paraId="4869C13D">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2015</w:t>
            </w:r>
          </w:p>
        </w:tc>
        <w:tc>
          <w:tcPr>
            <w:tcW w:w="925" w:type="pct"/>
            <w:noWrap/>
          </w:tcPr>
          <w:p w14:paraId="1C272A23">
            <w:pPr>
              <w:spacing w:line="360" w:lineRule="exact"/>
              <w:jc w:val="center"/>
              <w:rPr>
                <w:rFonts w:hint="eastAsia" w:ascii="方正仿宋_GBK" w:hAnsi="宋体" w:eastAsia="方正仿宋_GBK" w:cs="宋体"/>
                <w:color w:val="auto"/>
                <w:sz w:val="24"/>
                <w:szCs w:val="24"/>
              </w:rPr>
            </w:pPr>
          </w:p>
        </w:tc>
        <w:tc>
          <w:tcPr>
            <w:tcW w:w="1168" w:type="pct"/>
            <w:noWrap/>
          </w:tcPr>
          <w:p w14:paraId="2588468D">
            <w:pPr>
              <w:spacing w:line="360" w:lineRule="exact"/>
              <w:jc w:val="center"/>
              <w:rPr>
                <w:rFonts w:hint="eastAsia" w:ascii="方正仿宋_GBK" w:hAnsi="宋体" w:eastAsia="方正仿宋_GBK" w:cs="宋体"/>
                <w:color w:val="auto"/>
                <w:sz w:val="24"/>
                <w:szCs w:val="24"/>
              </w:rPr>
            </w:pPr>
          </w:p>
        </w:tc>
        <w:tc>
          <w:tcPr>
            <w:tcW w:w="1251" w:type="pct"/>
            <w:vAlign w:val="center"/>
          </w:tcPr>
          <w:p w14:paraId="4B400B8F">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1600</w:t>
            </w:r>
          </w:p>
        </w:tc>
      </w:tr>
      <w:tr w14:paraId="2879AD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201A7ED9">
            <w:pPr>
              <w:spacing w:line="360" w:lineRule="exact"/>
              <w:jc w:val="center"/>
              <w:rPr>
                <w:rFonts w:hint="eastAsia" w:ascii="方正仿宋_GBK" w:hAnsi="宋体" w:eastAsia="方正仿宋_GBK" w:cs="宋体"/>
                <w:color w:val="auto"/>
                <w:sz w:val="24"/>
                <w:szCs w:val="24"/>
              </w:rPr>
            </w:pPr>
            <w:r>
              <w:rPr>
                <w:rFonts w:hint="eastAsia" w:ascii="方正仿宋_GBK" w:hAnsi="等线" w:eastAsia="方正仿宋_GBK" w:cs="仿宋_GB2312"/>
                <w:color w:val="auto"/>
                <w:sz w:val="24"/>
                <w:szCs w:val="24"/>
                <w:lang w:eastAsia="zh-CN" w:bidi="ar"/>
              </w:rPr>
              <w:t>姚安县</w:t>
            </w:r>
          </w:p>
        </w:tc>
        <w:tc>
          <w:tcPr>
            <w:tcW w:w="745" w:type="pct"/>
            <w:noWrap/>
          </w:tcPr>
          <w:p w14:paraId="33811E61">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2015</w:t>
            </w:r>
          </w:p>
        </w:tc>
        <w:tc>
          <w:tcPr>
            <w:tcW w:w="925" w:type="pct"/>
            <w:noWrap/>
          </w:tcPr>
          <w:p w14:paraId="7B773704">
            <w:pPr>
              <w:spacing w:line="360" w:lineRule="exact"/>
              <w:jc w:val="center"/>
              <w:rPr>
                <w:rFonts w:hint="eastAsia" w:ascii="方正仿宋_GBK" w:hAnsi="宋体" w:eastAsia="方正仿宋_GBK" w:cs="宋体"/>
                <w:color w:val="auto"/>
                <w:sz w:val="24"/>
                <w:szCs w:val="24"/>
              </w:rPr>
            </w:pPr>
          </w:p>
        </w:tc>
        <w:tc>
          <w:tcPr>
            <w:tcW w:w="1168" w:type="pct"/>
            <w:noWrap/>
          </w:tcPr>
          <w:p w14:paraId="2786951B">
            <w:pPr>
              <w:spacing w:line="360" w:lineRule="exact"/>
              <w:jc w:val="center"/>
              <w:rPr>
                <w:rFonts w:hint="eastAsia" w:ascii="方正仿宋_GBK" w:hAnsi="宋体" w:eastAsia="方正仿宋_GBK" w:cs="宋体"/>
                <w:color w:val="auto"/>
                <w:sz w:val="24"/>
                <w:szCs w:val="24"/>
              </w:rPr>
            </w:pPr>
          </w:p>
        </w:tc>
        <w:tc>
          <w:tcPr>
            <w:tcW w:w="1251" w:type="pct"/>
            <w:vAlign w:val="center"/>
          </w:tcPr>
          <w:p w14:paraId="0140A800">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1700</w:t>
            </w:r>
          </w:p>
        </w:tc>
      </w:tr>
      <w:tr w14:paraId="296328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5F14A045">
            <w:pPr>
              <w:spacing w:line="360" w:lineRule="exact"/>
              <w:jc w:val="center"/>
              <w:rPr>
                <w:rFonts w:hint="eastAsia" w:ascii="方正仿宋_GBK" w:hAnsi="宋体" w:eastAsia="方正仿宋_GBK" w:cs="宋体"/>
                <w:color w:val="auto"/>
                <w:sz w:val="24"/>
                <w:szCs w:val="24"/>
              </w:rPr>
            </w:pPr>
            <w:r>
              <w:rPr>
                <w:rFonts w:hint="eastAsia" w:ascii="方正仿宋_GBK" w:hAnsi="等线" w:eastAsia="方正仿宋_GBK" w:cs="仿宋_GB2312"/>
                <w:color w:val="auto"/>
                <w:sz w:val="24"/>
                <w:szCs w:val="24"/>
                <w:lang w:eastAsia="zh-CN" w:bidi="ar"/>
              </w:rPr>
              <w:t>建水县</w:t>
            </w:r>
          </w:p>
        </w:tc>
        <w:tc>
          <w:tcPr>
            <w:tcW w:w="745" w:type="pct"/>
            <w:noWrap/>
          </w:tcPr>
          <w:p w14:paraId="355568D9">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2015</w:t>
            </w:r>
          </w:p>
        </w:tc>
        <w:tc>
          <w:tcPr>
            <w:tcW w:w="925" w:type="pct"/>
            <w:noWrap/>
          </w:tcPr>
          <w:p w14:paraId="28A40CAC">
            <w:pPr>
              <w:spacing w:line="360" w:lineRule="exact"/>
              <w:jc w:val="center"/>
              <w:rPr>
                <w:rFonts w:hint="eastAsia" w:ascii="方正仿宋_GBK" w:hAnsi="宋体" w:eastAsia="方正仿宋_GBK" w:cs="宋体"/>
                <w:color w:val="auto"/>
                <w:sz w:val="24"/>
                <w:szCs w:val="24"/>
              </w:rPr>
            </w:pPr>
          </w:p>
        </w:tc>
        <w:tc>
          <w:tcPr>
            <w:tcW w:w="1168" w:type="pct"/>
            <w:noWrap/>
          </w:tcPr>
          <w:p w14:paraId="3886F308">
            <w:pPr>
              <w:spacing w:line="360" w:lineRule="exact"/>
              <w:jc w:val="center"/>
              <w:rPr>
                <w:rFonts w:hint="eastAsia" w:ascii="方正仿宋_GBK" w:hAnsi="宋体" w:eastAsia="方正仿宋_GBK" w:cs="宋体"/>
                <w:color w:val="auto"/>
                <w:sz w:val="24"/>
                <w:szCs w:val="24"/>
              </w:rPr>
            </w:pPr>
          </w:p>
        </w:tc>
        <w:tc>
          <w:tcPr>
            <w:tcW w:w="1251" w:type="pct"/>
            <w:vAlign w:val="center"/>
          </w:tcPr>
          <w:p w14:paraId="56EBA699">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1700</w:t>
            </w:r>
          </w:p>
        </w:tc>
      </w:tr>
      <w:tr w14:paraId="56EC75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5C0561B4">
            <w:pPr>
              <w:spacing w:line="360" w:lineRule="exact"/>
              <w:jc w:val="center"/>
              <w:rPr>
                <w:rFonts w:hint="eastAsia" w:ascii="方正仿宋_GBK" w:hAnsi="宋体" w:eastAsia="方正仿宋_GBK" w:cs="宋体"/>
                <w:color w:val="auto"/>
                <w:sz w:val="24"/>
                <w:szCs w:val="24"/>
              </w:rPr>
            </w:pPr>
            <w:r>
              <w:rPr>
                <w:rFonts w:hint="eastAsia" w:ascii="方正仿宋_GBK" w:hAnsi="等线" w:eastAsia="方正仿宋_GBK" w:cs="仿宋_GB2312"/>
                <w:color w:val="auto"/>
                <w:sz w:val="24"/>
                <w:szCs w:val="24"/>
                <w:lang w:eastAsia="zh-CN"/>
              </w:rPr>
              <w:t>香格里拉市</w:t>
            </w:r>
          </w:p>
        </w:tc>
        <w:tc>
          <w:tcPr>
            <w:tcW w:w="745" w:type="pct"/>
            <w:noWrap/>
          </w:tcPr>
          <w:p w14:paraId="55821972">
            <w:pPr>
              <w:spacing w:line="360" w:lineRule="exact"/>
              <w:jc w:val="center"/>
              <w:rPr>
                <w:rFonts w:hint="eastAsia" w:ascii="方正仿宋_GBK" w:hAnsi="宋体" w:eastAsia="方正仿宋_GBK" w:cs="宋体"/>
                <w:color w:val="auto"/>
                <w:sz w:val="24"/>
                <w:szCs w:val="24"/>
                <w:lang w:eastAsia="zh-CN"/>
              </w:rPr>
            </w:pPr>
            <w:r>
              <w:rPr>
                <w:rFonts w:hint="eastAsia" w:ascii="方正仿宋_GBK" w:hAnsi="宋体" w:eastAsia="方正仿宋_GBK" w:cs="宋体"/>
                <w:color w:val="auto"/>
                <w:sz w:val="24"/>
                <w:szCs w:val="24"/>
                <w:lang w:eastAsia="zh-CN"/>
              </w:rPr>
              <w:t>2015</w:t>
            </w:r>
          </w:p>
        </w:tc>
        <w:tc>
          <w:tcPr>
            <w:tcW w:w="925" w:type="pct"/>
            <w:noWrap/>
          </w:tcPr>
          <w:p w14:paraId="7B170932">
            <w:pPr>
              <w:spacing w:line="360" w:lineRule="exact"/>
              <w:jc w:val="center"/>
              <w:rPr>
                <w:rFonts w:hint="eastAsia" w:ascii="方正仿宋_GBK" w:hAnsi="宋体" w:eastAsia="方正仿宋_GBK" w:cs="宋体"/>
                <w:color w:val="auto"/>
                <w:sz w:val="24"/>
                <w:szCs w:val="24"/>
              </w:rPr>
            </w:pPr>
          </w:p>
        </w:tc>
        <w:tc>
          <w:tcPr>
            <w:tcW w:w="1168" w:type="pct"/>
            <w:noWrap/>
          </w:tcPr>
          <w:p w14:paraId="3DC8BAC0">
            <w:pPr>
              <w:spacing w:line="360" w:lineRule="exact"/>
              <w:jc w:val="center"/>
              <w:rPr>
                <w:rFonts w:hint="eastAsia" w:ascii="方正仿宋_GBK" w:hAnsi="宋体" w:eastAsia="方正仿宋_GBK" w:cs="宋体"/>
                <w:color w:val="auto"/>
                <w:sz w:val="24"/>
                <w:szCs w:val="24"/>
              </w:rPr>
            </w:pPr>
          </w:p>
        </w:tc>
        <w:tc>
          <w:tcPr>
            <w:tcW w:w="1251" w:type="pct"/>
            <w:vAlign w:val="center"/>
          </w:tcPr>
          <w:p w14:paraId="2032C641">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976</w:t>
            </w:r>
          </w:p>
        </w:tc>
      </w:tr>
      <w:tr w14:paraId="497314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4855E101">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腾冲市</w:t>
            </w:r>
          </w:p>
        </w:tc>
        <w:tc>
          <w:tcPr>
            <w:tcW w:w="745" w:type="pct"/>
            <w:noWrap/>
          </w:tcPr>
          <w:p w14:paraId="21A5CCCA">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2018</w:t>
            </w:r>
          </w:p>
        </w:tc>
        <w:tc>
          <w:tcPr>
            <w:tcW w:w="925" w:type="pct"/>
            <w:noWrap/>
          </w:tcPr>
          <w:p w14:paraId="70AE2AA9">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64A787F5">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4AF58EC6">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900</w:t>
            </w:r>
          </w:p>
        </w:tc>
      </w:tr>
      <w:tr w14:paraId="2F9266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5EE932A7">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云龙县</w:t>
            </w:r>
          </w:p>
        </w:tc>
        <w:tc>
          <w:tcPr>
            <w:tcW w:w="745" w:type="pct"/>
            <w:noWrap/>
          </w:tcPr>
          <w:p w14:paraId="3349160C">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2018</w:t>
            </w:r>
          </w:p>
        </w:tc>
        <w:tc>
          <w:tcPr>
            <w:tcW w:w="925" w:type="pct"/>
            <w:noWrap/>
          </w:tcPr>
          <w:p w14:paraId="15DF9AFC">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3E497A1B">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2031BFA9">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1000</w:t>
            </w:r>
          </w:p>
        </w:tc>
      </w:tr>
      <w:tr w14:paraId="26BE35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1E8446BB">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施甸县</w:t>
            </w:r>
          </w:p>
        </w:tc>
        <w:tc>
          <w:tcPr>
            <w:tcW w:w="745" w:type="pct"/>
            <w:noWrap/>
          </w:tcPr>
          <w:p w14:paraId="539A2E3A">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2019</w:t>
            </w:r>
          </w:p>
        </w:tc>
        <w:tc>
          <w:tcPr>
            <w:tcW w:w="925" w:type="pct"/>
            <w:noWrap/>
          </w:tcPr>
          <w:p w14:paraId="5CEC4D0C">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7054A75D">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3BD64913">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950</w:t>
            </w:r>
          </w:p>
        </w:tc>
      </w:tr>
      <w:tr w14:paraId="520778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6A1CC950">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文山市</w:t>
            </w:r>
          </w:p>
        </w:tc>
        <w:tc>
          <w:tcPr>
            <w:tcW w:w="745" w:type="pct"/>
            <w:noWrap/>
          </w:tcPr>
          <w:p w14:paraId="6D64021D">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2019</w:t>
            </w:r>
          </w:p>
        </w:tc>
        <w:tc>
          <w:tcPr>
            <w:tcW w:w="925" w:type="pct"/>
            <w:noWrap/>
          </w:tcPr>
          <w:p w14:paraId="30B1FCA3">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3735B47C">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6921D579">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900</w:t>
            </w:r>
          </w:p>
        </w:tc>
      </w:tr>
      <w:tr w14:paraId="71874B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03990095">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永善县</w:t>
            </w:r>
          </w:p>
        </w:tc>
        <w:tc>
          <w:tcPr>
            <w:tcW w:w="745" w:type="pct"/>
            <w:noWrap/>
          </w:tcPr>
          <w:p w14:paraId="1FB7FF24">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2020</w:t>
            </w:r>
          </w:p>
        </w:tc>
        <w:tc>
          <w:tcPr>
            <w:tcW w:w="925" w:type="pct"/>
            <w:noWrap/>
          </w:tcPr>
          <w:p w14:paraId="70C3C597">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1000</w:t>
            </w:r>
          </w:p>
        </w:tc>
        <w:tc>
          <w:tcPr>
            <w:tcW w:w="1168" w:type="pct"/>
            <w:noWrap/>
          </w:tcPr>
          <w:p w14:paraId="218036EE">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250</w:t>
            </w:r>
          </w:p>
        </w:tc>
        <w:tc>
          <w:tcPr>
            <w:tcW w:w="1251" w:type="pct"/>
            <w:vAlign w:val="center"/>
          </w:tcPr>
          <w:p w14:paraId="6C82D08B">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650</w:t>
            </w:r>
          </w:p>
        </w:tc>
      </w:tr>
      <w:tr w14:paraId="79C983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6E57E500">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永德县</w:t>
            </w:r>
          </w:p>
        </w:tc>
        <w:tc>
          <w:tcPr>
            <w:tcW w:w="745" w:type="pct"/>
            <w:noWrap/>
          </w:tcPr>
          <w:p w14:paraId="3CF92DC2">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2020</w:t>
            </w:r>
          </w:p>
        </w:tc>
        <w:tc>
          <w:tcPr>
            <w:tcW w:w="925" w:type="pct"/>
            <w:noWrap/>
          </w:tcPr>
          <w:p w14:paraId="3E5D2F96">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17F76B9B">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1D770362">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650</w:t>
            </w:r>
          </w:p>
        </w:tc>
      </w:tr>
      <w:tr w14:paraId="60192D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42D2D220">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泸水市</w:t>
            </w:r>
          </w:p>
        </w:tc>
        <w:tc>
          <w:tcPr>
            <w:tcW w:w="745" w:type="pct"/>
            <w:noWrap/>
          </w:tcPr>
          <w:p w14:paraId="2CD3F05D">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2022</w:t>
            </w:r>
          </w:p>
        </w:tc>
        <w:tc>
          <w:tcPr>
            <w:tcW w:w="925" w:type="pct"/>
            <w:noWrap/>
          </w:tcPr>
          <w:p w14:paraId="59B8F859">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281C62FF">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209DC848">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550</w:t>
            </w:r>
          </w:p>
        </w:tc>
      </w:tr>
      <w:tr w14:paraId="48B000F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40E21CB8">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盐津县</w:t>
            </w:r>
          </w:p>
        </w:tc>
        <w:tc>
          <w:tcPr>
            <w:tcW w:w="745" w:type="pct"/>
            <w:noWrap/>
          </w:tcPr>
          <w:p w14:paraId="3D74A63F">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2023</w:t>
            </w:r>
          </w:p>
        </w:tc>
        <w:tc>
          <w:tcPr>
            <w:tcW w:w="925" w:type="pct"/>
            <w:noWrap/>
          </w:tcPr>
          <w:p w14:paraId="3F1A8BD7">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78737F7C">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3B0BA46F">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450</w:t>
            </w:r>
          </w:p>
        </w:tc>
      </w:tr>
      <w:tr w14:paraId="08D2C6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23217E30">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澜沧县</w:t>
            </w:r>
          </w:p>
        </w:tc>
        <w:tc>
          <w:tcPr>
            <w:tcW w:w="745" w:type="pct"/>
            <w:noWrap/>
          </w:tcPr>
          <w:p w14:paraId="56F2C057">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2024</w:t>
            </w:r>
          </w:p>
        </w:tc>
        <w:tc>
          <w:tcPr>
            <w:tcW w:w="925" w:type="pct"/>
            <w:noWrap/>
          </w:tcPr>
          <w:p w14:paraId="39C9BFB1">
            <w:pPr>
              <w:spacing w:line="360" w:lineRule="exact"/>
              <w:jc w:val="center"/>
              <w:rPr>
                <w:rFonts w:hint="eastAsia" w:ascii="方正仿宋_GBK" w:hAnsi="等线" w:eastAsia="方正仿宋_GBK" w:cs="仿宋_GB2312"/>
                <w:color w:val="auto"/>
                <w:sz w:val="24"/>
                <w:szCs w:val="24"/>
                <w:lang w:eastAsia="zh-CN" w:bidi="ar"/>
              </w:rPr>
            </w:pPr>
          </w:p>
        </w:tc>
        <w:tc>
          <w:tcPr>
            <w:tcW w:w="1168" w:type="pct"/>
            <w:noWrap/>
          </w:tcPr>
          <w:p w14:paraId="0BCBCD55">
            <w:pPr>
              <w:spacing w:line="360" w:lineRule="exact"/>
              <w:jc w:val="center"/>
              <w:rPr>
                <w:rFonts w:hint="eastAsia" w:ascii="方正仿宋_GBK" w:hAnsi="等线" w:eastAsia="方正仿宋_GBK" w:cs="仿宋_GB2312"/>
                <w:color w:val="auto"/>
                <w:sz w:val="24"/>
                <w:szCs w:val="24"/>
                <w:lang w:eastAsia="zh-CN" w:bidi="ar"/>
              </w:rPr>
            </w:pPr>
          </w:p>
        </w:tc>
        <w:tc>
          <w:tcPr>
            <w:tcW w:w="1251" w:type="pct"/>
            <w:vAlign w:val="center"/>
          </w:tcPr>
          <w:p w14:paraId="69269944">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800</w:t>
            </w:r>
          </w:p>
        </w:tc>
      </w:tr>
      <w:tr w14:paraId="0A18C9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19248546">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南涧县</w:t>
            </w:r>
          </w:p>
        </w:tc>
        <w:tc>
          <w:tcPr>
            <w:tcW w:w="745" w:type="pct"/>
            <w:noWrap/>
          </w:tcPr>
          <w:p w14:paraId="2919989C">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2024</w:t>
            </w:r>
          </w:p>
        </w:tc>
        <w:tc>
          <w:tcPr>
            <w:tcW w:w="925" w:type="pct"/>
            <w:noWrap/>
          </w:tcPr>
          <w:p w14:paraId="56006BC4">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1000</w:t>
            </w:r>
          </w:p>
        </w:tc>
        <w:tc>
          <w:tcPr>
            <w:tcW w:w="1168" w:type="pct"/>
            <w:noWrap/>
          </w:tcPr>
          <w:p w14:paraId="693328E6">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250</w:t>
            </w:r>
          </w:p>
        </w:tc>
        <w:tc>
          <w:tcPr>
            <w:tcW w:w="1251" w:type="pct"/>
            <w:vAlign w:val="center"/>
          </w:tcPr>
          <w:p w14:paraId="3ACA9DE9">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650</w:t>
            </w:r>
          </w:p>
        </w:tc>
      </w:tr>
      <w:tr w14:paraId="6F6A10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107AC6DF">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景谷县</w:t>
            </w:r>
          </w:p>
        </w:tc>
        <w:tc>
          <w:tcPr>
            <w:tcW w:w="745" w:type="pct"/>
            <w:noWrap/>
          </w:tcPr>
          <w:p w14:paraId="512C0BE3">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2026</w:t>
            </w:r>
          </w:p>
        </w:tc>
        <w:tc>
          <w:tcPr>
            <w:tcW w:w="925" w:type="pct"/>
            <w:noWrap/>
          </w:tcPr>
          <w:p w14:paraId="21D0EA1E">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4000</w:t>
            </w:r>
          </w:p>
        </w:tc>
        <w:tc>
          <w:tcPr>
            <w:tcW w:w="1168" w:type="pct"/>
            <w:noWrap/>
          </w:tcPr>
          <w:p w14:paraId="66B254E4">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1000</w:t>
            </w:r>
          </w:p>
        </w:tc>
        <w:tc>
          <w:tcPr>
            <w:tcW w:w="1251" w:type="pct"/>
            <w:vAlign w:val="center"/>
          </w:tcPr>
          <w:p w14:paraId="626FA06B">
            <w:pPr>
              <w:spacing w:line="360" w:lineRule="exact"/>
              <w:jc w:val="center"/>
              <w:rPr>
                <w:rFonts w:hint="eastAsia" w:ascii="方正仿宋_GBK" w:hAnsi="等线" w:eastAsia="方正仿宋_GBK" w:cs="仿宋_GB2312"/>
                <w:color w:val="auto"/>
                <w:sz w:val="24"/>
                <w:szCs w:val="24"/>
                <w:lang w:eastAsia="zh-CN" w:bidi="ar"/>
              </w:rPr>
            </w:pPr>
          </w:p>
        </w:tc>
      </w:tr>
      <w:tr w14:paraId="45E0DB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41C44606">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元谋县</w:t>
            </w:r>
          </w:p>
        </w:tc>
        <w:tc>
          <w:tcPr>
            <w:tcW w:w="745" w:type="pct"/>
            <w:noWrap/>
          </w:tcPr>
          <w:p w14:paraId="21BF3716">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2026</w:t>
            </w:r>
          </w:p>
        </w:tc>
        <w:tc>
          <w:tcPr>
            <w:tcW w:w="925" w:type="pct"/>
            <w:noWrap/>
          </w:tcPr>
          <w:p w14:paraId="3FB117D7">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4000</w:t>
            </w:r>
          </w:p>
        </w:tc>
        <w:tc>
          <w:tcPr>
            <w:tcW w:w="1168" w:type="pct"/>
            <w:noWrap/>
          </w:tcPr>
          <w:p w14:paraId="07EC6C93">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1000</w:t>
            </w:r>
          </w:p>
        </w:tc>
        <w:tc>
          <w:tcPr>
            <w:tcW w:w="1251" w:type="pct"/>
            <w:vAlign w:val="center"/>
          </w:tcPr>
          <w:p w14:paraId="7612AF6D">
            <w:pPr>
              <w:spacing w:line="360" w:lineRule="exact"/>
              <w:jc w:val="center"/>
              <w:rPr>
                <w:rFonts w:hint="eastAsia" w:ascii="方正仿宋_GBK" w:hAnsi="等线" w:eastAsia="方正仿宋_GBK" w:cs="仿宋_GB2312"/>
                <w:color w:val="auto"/>
                <w:sz w:val="24"/>
                <w:szCs w:val="24"/>
                <w:lang w:eastAsia="zh-CN" w:bidi="ar"/>
              </w:rPr>
            </w:pPr>
          </w:p>
        </w:tc>
      </w:tr>
      <w:tr w14:paraId="35B044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911" w:type="pct"/>
            <w:vAlign w:val="center"/>
          </w:tcPr>
          <w:p w14:paraId="16ED4864">
            <w:pPr>
              <w:spacing w:line="360" w:lineRule="exact"/>
              <w:jc w:val="center"/>
              <w:rPr>
                <w:rFonts w:hint="eastAsia" w:ascii="方正仿宋_GBK" w:hAnsi="宋体" w:eastAsia="方正仿宋_GBK" w:cs="宋体"/>
                <w:color w:val="auto"/>
                <w:sz w:val="24"/>
                <w:szCs w:val="24"/>
              </w:rPr>
            </w:pPr>
            <w:r>
              <w:rPr>
                <w:rFonts w:hint="eastAsia" w:ascii="方正仿宋_GBK" w:hAnsi="宋体" w:eastAsia="方正仿宋_GBK" w:cs="宋体"/>
                <w:color w:val="auto"/>
                <w:sz w:val="24"/>
                <w:szCs w:val="24"/>
                <w:lang w:eastAsia="zh-CN"/>
              </w:rPr>
              <w:t>全省</w:t>
            </w:r>
            <w:r>
              <w:rPr>
                <w:rFonts w:hint="eastAsia" w:ascii="方正仿宋_GBK" w:hAnsi="宋体" w:eastAsia="方正仿宋_GBK" w:cs="宋体"/>
                <w:color w:val="auto"/>
                <w:sz w:val="24"/>
                <w:szCs w:val="24"/>
              </w:rPr>
              <w:t>合计</w:t>
            </w:r>
          </w:p>
        </w:tc>
        <w:tc>
          <w:tcPr>
            <w:tcW w:w="745" w:type="pct"/>
            <w:noWrap/>
          </w:tcPr>
          <w:p w14:paraId="27FEEB36">
            <w:pPr>
              <w:spacing w:line="360" w:lineRule="exact"/>
              <w:jc w:val="center"/>
              <w:rPr>
                <w:rFonts w:hint="eastAsia" w:ascii="方正仿宋_GBK" w:hAnsi="宋体" w:eastAsia="方正仿宋_GBK" w:cs="宋体"/>
                <w:color w:val="auto"/>
                <w:sz w:val="24"/>
                <w:szCs w:val="24"/>
              </w:rPr>
            </w:pPr>
          </w:p>
        </w:tc>
        <w:tc>
          <w:tcPr>
            <w:tcW w:w="925" w:type="pct"/>
            <w:noWrap/>
            <w:vAlign w:val="center"/>
          </w:tcPr>
          <w:p w14:paraId="79924A02">
            <w:pPr>
              <w:spacing w:line="360" w:lineRule="exact"/>
              <w:jc w:val="center"/>
              <w:rPr>
                <w:rFonts w:hint="eastAsia" w:ascii="方正仿宋_GBK" w:hAnsi="宋体" w:eastAsia="方正仿宋_GBK" w:cs="宋体"/>
                <w:color w:val="auto"/>
                <w:sz w:val="24"/>
                <w:szCs w:val="24"/>
              </w:rPr>
            </w:pPr>
            <w:r>
              <w:rPr>
                <w:rFonts w:hint="eastAsia" w:ascii="方正仿宋_GBK" w:hAnsi="宋体" w:eastAsia="方正仿宋_GBK" w:cs="宋体"/>
                <w:color w:val="auto"/>
                <w:sz w:val="24"/>
                <w:szCs w:val="24"/>
              </w:rPr>
              <w:t>1</w:t>
            </w:r>
            <w:r>
              <w:rPr>
                <w:rFonts w:hint="eastAsia" w:ascii="方正仿宋_GBK" w:hAnsi="宋体" w:eastAsia="方正仿宋_GBK" w:cs="宋体"/>
                <w:color w:val="auto"/>
                <w:sz w:val="24"/>
                <w:szCs w:val="24"/>
                <w:lang w:eastAsia="zh-CN"/>
              </w:rPr>
              <w:t>0</w:t>
            </w:r>
            <w:r>
              <w:rPr>
                <w:rFonts w:hint="eastAsia" w:ascii="方正仿宋_GBK" w:hAnsi="宋体" w:eastAsia="方正仿宋_GBK" w:cs="宋体"/>
                <w:color w:val="auto"/>
                <w:sz w:val="24"/>
                <w:szCs w:val="24"/>
              </w:rPr>
              <w:t>000</w:t>
            </w:r>
          </w:p>
        </w:tc>
        <w:tc>
          <w:tcPr>
            <w:tcW w:w="1168" w:type="pct"/>
            <w:noWrap/>
            <w:vAlign w:val="center"/>
          </w:tcPr>
          <w:p w14:paraId="7C2E354B">
            <w:pPr>
              <w:spacing w:line="360" w:lineRule="exact"/>
              <w:jc w:val="center"/>
              <w:rPr>
                <w:rFonts w:hint="eastAsia" w:ascii="方正仿宋_GBK" w:hAnsi="宋体" w:eastAsia="方正仿宋_GBK" w:cs="宋体"/>
                <w:color w:val="auto"/>
                <w:sz w:val="24"/>
                <w:szCs w:val="24"/>
              </w:rPr>
            </w:pPr>
            <w:r>
              <w:rPr>
                <w:rFonts w:hint="eastAsia" w:ascii="方正仿宋_GBK" w:hAnsi="宋体" w:eastAsia="方正仿宋_GBK" w:cs="宋体"/>
                <w:color w:val="auto"/>
                <w:sz w:val="24"/>
                <w:szCs w:val="24"/>
                <w:lang w:eastAsia="zh-CN"/>
              </w:rPr>
              <w:t>2</w:t>
            </w:r>
            <w:r>
              <w:rPr>
                <w:rFonts w:hint="eastAsia" w:ascii="方正仿宋_GBK" w:hAnsi="宋体" w:eastAsia="方正仿宋_GBK" w:cs="宋体"/>
                <w:color w:val="auto"/>
                <w:sz w:val="24"/>
                <w:szCs w:val="24"/>
              </w:rPr>
              <w:t>5</w:t>
            </w:r>
            <w:r>
              <w:rPr>
                <w:rFonts w:hint="eastAsia" w:ascii="方正仿宋_GBK" w:hAnsi="宋体" w:eastAsia="方正仿宋_GBK" w:cs="宋体"/>
                <w:color w:val="auto"/>
                <w:sz w:val="24"/>
                <w:szCs w:val="24"/>
                <w:lang w:eastAsia="zh-CN"/>
              </w:rPr>
              <w:t>0</w:t>
            </w:r>
            <w:r>
              <w:rPr>
                <w:rFonts w:hint="eastAsia" w:ascii="方正仿宋_GBK" w:hAnsi="宋体" w:eastAsia="方正仿宋_GBK" w:cs="宋体"/>
                <w:color w:val="auto"/>
                <w:sz w:val="24"/>
                <w:szCs w:val="24"/>
              </w:rPr>
              <w:t>0</w:t>
            </w:r>
          </w:p>
        </w:tc>
        <w:tc>
          <w:tcPr>
            <w:tcW w:w="1251" w:type="pct"/>
            <w:noWrap/>
            <w:vAlign w:val="center"/>
          </w:tcPr>
          <w:p w14:paraId="13BF8725">
            <w:pPr>
              <w:spacing w:line="360" w:lineRule="exact"/>
              <w:jc w:val="center"/>
              <w:rPr>
                <w:rFonts w:hint="eastAsia" w:ascii="方正仿宋_GBK" w:hAnsi="等线" w:eastAsia="方正仿宋_GBK" w:cs="仿宋_GB2312"/>
                <w:color w:val="auto"/>
                <w:sz w:val="24"/>
                <w:szCs w:val="24"/>
                <w:lang w:eastAsia="zh-CN" w:bidi="ar"/>
              </w:rPr>
            </w:pPr>
            <w:r>
              <w:rPr>
                <w:rFonts w:hint="eastAsia" w:ascii="方正仿宋_GBK" w:hAnsi="等线" w:eastAsia="方正仿宋_GBK" w:cs="仿宋_GB2312"/>
                <w:color w:val="auto"/>
                <w:sz w:val="24"/>
                <w:szCs w:val="24"/>
                <w:lang w:eastAsia="zh-CN" w:bidi="ar"/>
              </w:rPr>
              <w:t>16476</w:t>
            </w:r>
          </w:p>
        </w:tc>
      </w:tr>
      <w:bookmarkEnd w:id="2"/>
    </w:tbl>
    <w:p w14:paraId="73F4A6B3">
      <w:pPr>
        <w:spacing w:line="360" w:lineRule="exact"/>
        <w:rPr>
          <w:rFonts w:hint="eastAsia" w:ascii="仿宋_GB2312" w:hAnsi="等线" w:eastAsia="仿宋_GB2312" w:cs="仿宋_GB2312"/>
          <w:color w:val="0000FF"/>
          <w:sz w:val="24"/>
          <w:szCs w:val="24"/>
          <w:lang w:eastAsia="zh-CN" w:bidi="ar"/>
        </w:rPr>
      </w:pPr>
      <w:r>
        <w:rPr>
          <w:rFonts w:hint="eastAsia" w:ascii="仿宋_GB2312" w:hAnsi="等线" w:eastAsia="仿宋_GB2312" w:cs="仿宋_GB2312"/>
          <w:color w:val="0000FF"/>
          <w:sz w:val="24"/>
          <w:szCs w:val="24"/>
          <w:lang w:eastAsia="zh-CN" w:bidi="ar"/>
        </w:rPr>
        <w:t>* 因国家总经费后期调整，第二笔经费不能拨付，故对已下达的长期随访任务进行调整，由前期下达的20800人调整为16476人。</w:t>
      </w:r>
    </w:p>
    <w:p w14:paraId="065915BD">
      <w:pPr>
        <w:spacing w:line="360" w:lineRule="exact"/>
        <w:rPr>
          <w:rFonts w:hint="eastAsia" w:ascii="仿宋_GB2312" w:hAnsi="等线" w:eastAsia="仿宋_GB2312" w:cs="仿宋_GB2312"/>
          <w:sz w:val="24"/>
          <w:szCs w:val="24"/>
          <w:lang w:eastAsia="zh-CN" w:bidi="ar"/>
        </w:rPr>
      </w:pPr>
    </w:p>
    <w:p w14:paraId="0BAC1924">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（三）时间安排</w:t>
      </w:r>
    </w:p>
    <w:p w14:paraId="644D3425">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2026年12月3</w:t>
      </w:r>
      <w:r>
        <w:rPr>
          <w:rFonts w:ascii="宋体" w:hAnsi="宋体" w:eastAsia="方正仿宋_GBK" w:cs="方正楷体_GBK"/>
          <w:sz w:val="32"/>
          <w:szCs w:val="32"/>
          <w:lang w:eastAsia="zh-CN"/>
        </w:rPr>
        <w:t>1</w:t>
      </w:r>
      <w:r>
        <w:rPr>
          <w:rFonts w:hint="eastAsia" w:ascii="宋体" w:hAnsi="宋体" w:eastAsia="方正仿宋_GBK" w:cs="方正楷体_GBK"/>
          <w:sz w:val="32"/>
          <w:szCs w:val="32"/>
          <w:lang w:eastAsia="zh-CN"/>
        </w:rPr>
        <w:t>日前完成所有现场和数据上报工作。</w:t>
      </w:r>
    </w:p>
    <w:p w14:paraId="00D666E2">
      <w:pPr>
        <w:spacing w:line="360" w:lineRule="auto"/>
        <w:ind w:firstLine="643" w:firstLineChars="200"/>
        <w:rPr>
          <w:rFonts w:ascii="方正黑体_GBK" w:eastAsia="方正黑体_GBK"/>
          <w:b/>
          <w:sz w:val="32"/>
          <w:szCs w:val="24"/>
          <w:lang w:eastAsia="zh-CN"/>
        </w:rPr>
      </w:pPr>
      <w:r>
        <w:rPr>
          <w:rFonts w:hint="eastAsia" w:ascii="方正黑体_GBK" w:eastAsia="方正黑体_GBK"/>
          <w:b/>
          <w:sz w:val="32"/>
          <w:szCs w:val="24"/>
          <w:lang w:eastAsia="zh-CN"/>
        </w:rPr>
        <w:t>三、工作内容</w:t>
      </w:r>
    </w:p>
    <w:p w14:paraId="3C358DBF">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（一）组织动员</w:t>
      </w:r>
    </w:p>
    <w:p w14:paraId="6D8BA137">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由社区、医疗机构等通过广泛的宣传和入户动员，发动符合筛查条件的对象积极参与到项目中。</w:t>
      </w:r>
    </w:p>
    <w:p w14:paraId="20B4B591">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项目初筛对象应同时符合以下三个入选标准：</w:t>
      </w:r>
    </w:p>
    <w:p w14:paraId="4FA63572">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1.出生日期在1951年1月1日至1991年12月31日之间，筛查人群应能够反映当地人群的实际年龄结构；</w:t>
      </w:r>
    </w:p>
    <w:p w14:paraId="365D31FA">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2.筛查对象为项目点的常住居民，即筛查前、后12个月内在项目点居住6个月以上的居民；</w:t>
      </w:r>
    </w:p>
    <w:p w14:paraId="30531C50">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3.自愿参加且签署知情同意书。</w:t>
      </w:r>
    </w:p>
    <w:p w14:paraId="7F71F064">
      <w:pPr>
        <w:spacing w:line="360" w:lineRule="auto"/>
        <w:ind w:firstLine="643" w:firstLineChars="200"/>
        <w:rPr>
          <w:rFonts w:hint="eastAsia" w:ascii="宋体" w:hAnsi="宋体" w:eastAsia="方正仿宋_GBK" w:cs="方正楷体_GBK"/>
          <w:b/>
          <w:bCs/>
          <w:sz w:val="32"/>
          <w:szCs w:val="32"/>
          <w:lang w:eastAsia="zh-CN"/>
        </w:rPr>
      </w:pPr>
      <w:r>
        <w:rPr>
          <w:rFonts w:hint="eastAsia" w:ascii="宋体" w:hAnsi="宋体" w:eastAsia="方正仿宋_GBK" w:cs="方正楷体_GBK"/>
          <w:b/>
          <w:bCs/>
          <w:sz w:val="32"/>
          <w:szCs w:val="32"/>
          <w:lang w:eastAsia="zh-CN"/>
        </w:rPr>
        <w:t>（二）初筛调查</w:t>
      </w:r>
    </w:p>
    <w:p w14:paraId="744B4195">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初筛调查通过初步询问心血管健康状况和体格检查，了解筛查对象心血管病相关危险因素情况，评估心血管病风险，确定心血管病高危对象。主要内容包括：对象判别、知情同意、信息登记、血压测量、身高、体重、腰围、臀围测量、空腹指尖血快速血糖和血脂检测以及初步询问心血管健康状况等。</w:t>
      </w:r>
    </w:p>
    <w:p w14:paraId="59E63453">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（三）高危对象调查与干预</w:t>
      </w:r>
    </w:p>
    <w:p w14:paraId="6F723FE6">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对初筛确定为心血管病高危对象的人群，继续提供高危对象调查和干预。主要内容包括：对高危对象的心血管健康状况进行详细询问；实验室检查，包括采集空腹静脉血进行脂蛋白a和超敏C反应蛋白检测；同时还进行十二导联心电图检查、心脏超声和颈动脉超声检查，在此基础上进行针对性的综合干预咨询，提供康复指导，实施持续的健康风险改善和心血管风险监测与综合干预服务。</w:t>
      </w:r>
    </w:p>
    <w:p w14:paraId="0D0A3C0A">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（四）长期随访管理</w:t>
      </w:r>
    </w:p>
    <w:p w14:paraId="2C8A14EB">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高危对象将纳入项目的长期随访管理，进行年度主动随访，了解高危对象心血管病危险因素控制情况等，为进一步评估心血管病高危人群筛查及干预适宜技术提供数据支持。</w:t>
      </w:r>
    </w:p>
    <w:p w14:paraId="3F3FD7FF">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长期随访</w:t>
      </w:r>
      <w:r>
        <w:rPr>
          <w:rFonts w:hint="eastAsia" w:ascii="宋体" w:hAnsi="宋体" w:eastAsia="方正仿宋_GBK" w:cs="方正楷体_GBK"/>
          <w:sz w:val="32"/>
          <w:szCs w:val="32"/>
          <w:lang w:eastAsia="zh-CN"/>
        </w:rPr>
        <w:t>从下一年度开始，针对性选择部分高危对象进行长期随访干预。</w:t>
      </w:r>
      <w:r>
        <w:rPr>
          <w:rFonts w:hint="eastAsia" w:ascii="方正仿宋_GBK" w:eastAsia="方正仿宋_GBK"/>
          <w:sz w:val="32"/>
          <w:szCs w:val="24"/>
          <w:lang w:eastAsia="zh-CN"/>
        </w:rPr>
        <w:t>采取分层随访管理的方式进行。即：对本年度及既往年度已发现的所有高危对象，由信息系统自动分为极高危对象、中高危对象和特殊对象三类。原则上，极高危对象每年一次面访，中高危对象电话随访、面访逐年穿插，特殊对象不长期随访。</w:t>
      </w:r>
    </w:p>
    <w:p w14:paraId="0F4E2256">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 xml:space="preserve">每年度，项目工作人员提前登录信息化管理平台获得长随名单和分类，根据随访名单中推荐的随访方式进行随访。   </w:t>
      </w:r>
    </w:p>
    <w:p w14:paraId="438808C5">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高危对象分层定义如下：</w:t>
      </w:r>
    </w:p>
    <w:p w14:paraId="54C54B00">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1) 极高危对象：筛查当年因心血管病疾病史或世界卫生组织十年心血管病患病风险评分≥20%被判定的高危对象。</w:t>
      </w:r>
    </w:p>
    <w:p w14:paraId="2FDB2C3F">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2) 中高危对象：筛查当年因高血压或血脂异常被判定的高危对象。</w:t>
      </w:r>
    </w:p>
    <w:p w14:paraId="063D4049">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3) 特殊对象：根据筛查对象家庭成员存在心血管病疾病史、治疗史、罕见家族遗传病特殊体征或长寿等情况判定的特殊对象。</w:t>
      </w:r>
    </w:p>
    <w:p w14:paraId="76D7EA5C">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长随主要内容包括体格检查（手臂血压、身高、体重、腰围、臀围）、踝部血压（如下肢存在麻木</w:t>
      </w:r>
      <w:r>
        <w:rPr>
          <w:rFonts w:ascii="宋体" w:hAnsi="宋体" w:eastAsia="方正仿宋_GBK" w:cs="方正楷体_GBK"/>
          <w:sz w:val="32"/>
          <w:szCs w:val="32"/>
          <w:lang w:eastAsia="zh-CN"/>
        </w:rPr>
        <w:t>/</w:t>
      </w:r>
      <w:r>
        <w:rPr>
          <w:rFonts w:hint="eastAsia" w:ascii="宋体" w:hAnsi="宋体" w:eastAsia="方正仿宋_GBK" w:cs="方正楷体_GBK"/>
          <w:sz w:val="32"/>
          <w:szCs w:val="32"/>
          <w:lang w:eastAsia="zh-CN"/>
        </w:rPr>
        <w:t>疼痛</w:t>
      </w:r>
      <w:r>
        <w:rPr>
          <w:rFonts w:ascii="宋体" w:hAnsi="宋体" w:eastAsia="方正仿宋_GBK" w:cs="方正楷体_GBK"/>
          <w:sz w:val="32"/>
          <w:szCs w:val="32"/>
          <w:lang w:eastAsia="zh-CN"/>
        </w:rPr>
        <w:t>/</w:t>
      </w:r>
      <w:r>
        <w:rPr>
          <w:rFonts w:hint="eastAsia" w:ascii="宋体" w:hAnsi="宋体" w:eastAsia="方正仿宋_GBK" w:cs="方正楷体_GBK"/>
          <w:sz w:val="32"/>
          <w:szCs w:val="32"/>
          <w:lang w:eastAsia="zh-CN"/>
        </w:rPr>
        <w:t>不适等体征）、血生化和尿常规、尿生化检测等实验室检查、心电图检查、颈动脉超声、心血管健康状况长期随访调查及综合干预。</w:t>
      </w:r>
    </w:p>
    <w:p w14:paraId="5446D451">
      <w:pPr>
        <w:spacing w:line="360" w:lineRule="auto"/>
        <w:ind w:firstLine="643" w:firstLineChars="200"/>
        <w:rPr>
          <w:rFonts w:hint="eastAsia" w:ascii="宋体" w:hAnsi="宋体" w:eastAsia="方正仿宋_GBK" w:cs="方正楷体_GBK"/>
          <w:b/>
          <w:bCs/>
          <w:sz w:val="32"/>
          <w:szCs w:val="32"/>
          <w:lang w:eastAsia="zh-CN"/>
        </w:rPr>
      </w:pPr>
      <w:r>
        <w:rPr>
          <w:rFonts w:hint="eastAsia" w:ascii="宋体" w:hAnsi="宋体" w:eastAsia="方正仿宋_GBK" w:cs="方正楷体_GBK"/>
          <w:b/>
          <w:bCs/>
          <w:sz w:val="32"/>
          <w:szCs w:val="32"/>
          <w:lang w:eastAsia="zh-CN"/>
        </w:rPr>
        <w:t>（五）被动随访</w:t>
      </w:r>
    </w:p>
    <w:p w14:paraId="3C4BFBDF">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对所有参加过筛查的对象，每年利用疾控、医政等卫生健康数据，开展被动随访，收集其心血管及相关疾病住院信息，跟踪死亡结局，以评价其发病和死亡风险。</w:t>
      </w:r>
    </w:p>
    <w:p w14:paraId="4A0A68B0">
      <w:pPr>
        <w:spacing w:line="360" w:lineRule="auto"/>
        <w:ind w:firstLine="640" w:firstLineChars="200"/>
        <w:rPr>
          <w:rFonts w:hint="eastAsia" w:ascii="宋体" w:hAnsi="宋体" w:eastAsia="方正仿宋_GBK" w:cs="方正楷体_GBK"/>
          <w:sz w:val="32"/>
          <w:szCs w:val="32"/>
          <w:lang w:eastAsia="zh-CN"/>
        </w:rPr>
      </w:pPr>
      <w:r>
        <w:rPr>
          <w:rFonts w:hint="eastAsia" w:ascii="宋体" w:hAnsi="宋体" w:eastAsia="方正仿宋_GBK" w:cs="方正楷体_GBK"/>
          <w:sz w:val="32"/>
          <w:szCs w:val="32"/>
          <w:lang w:eastAsia="zh-CN"/>
        </w:rPr>
        <w:t>上述内容操作要求详见国家项目办制定的《心血管病高危人群早期筛查与综合干预项目现场筛查操作手册》。</w:t>
      </w:r>
    </w:p>
    <w:p w14:paraId="0C5EF724">
      <w:pPr>
        <w:spacing w:line="360" w:lineRule="auto"/>
        <w:ind w:firstLine="643" w:firstLineChars="200"/>
        <w:rPr>
          <w:rFonts w:ascii="方正黑体_GBK" w:eastAsia="方正黑体_GBK"/>
          <w:b/>
          <w:sz w:val="32"/>
          <w:szCs w:val="24"/>
          <w:lang w:eastAsia="zh-CN"/>
        </w:rPr>
      </w:pPr>
      <w:r>
        <w:rPr>
          <w:rFonts w:hint="eastAsia" w:ascii="方正黑体_GBK" w:eastAsia="方正黑体_GBK"/>
          <w:b/>
          <w:sz w:val="32"/>
          <w:szCs w:val="24"/>
          <w:lang w:eastAsia="zh-CN"/>
        </w:rPr>
        <w:t>四、信息系统</w:t>
      </w:r>
    </w:p>
    <w:p w14:paraId="323BD355">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国家项目办开发了电子化数据采集系统及信息化管理平台。根据在本项目中所承担的工作任务，工作人员将被授予与其工作内容相应的数据访问权限。获得授权的项目工作人员每次登录项目信息化管理平台、录入数据时都需要独一的用户名和密码。</w:t>
      </w:r>
    </w:p>
    <w:p w14:paraId="3C2720A5">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1.项目信息化管理平台</w:t>
      </w:r>
    </w:p>
    <w:p w14:paraId="441C3FB2">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项目信息化管理平台是国家心血管病中心根据项目内容及管理特点而设计开发，便于项目各级行政、技术机构进行高效率、高质量的项目管理、监督。</w:t>
      </w:r>
    </w:p>
    <w:p w14:paraId="0AC45CC5">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2.</w:t>
      </w:r>
      <w:r>
        <w:rPr>
          <w:rFonts w:hint="eastAsia"/>
          <w:lang w:eastAsia="zh-CN"/>
        </w:rPr>
        <w:t xml:space="preserve"> </w:t>
      </w:r>
      <w:r>
        <w:rPr>
          <w:rFonts w:hint="eastAsia" w:ascii="方正仿宋_GBK" w:eastAsia="方正仿宋_GBK"/>
          <w:sz w:val="32"/>
          <w:szCs w:val="24"/>
          <w:lang w:eastAsia="zh-CN"/>
        </w:rPr>
        <w:t>数据采集系统</w:t>
      </w:r>
    </w:p>
    <w:p w14:paraId="2A27A186">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目前采用离线录入模式，用于现场采集数据。具有数据核查、逻辑跳转、数据留痕等功能。当天工作完成后，项目工作人员将全部数据上传至项目专用服务器。该数据采集系统已于 2021年完成国家卫生健康委本级向基层采集数据业务信息系统的备案。</w:t>
      </w:r>
    </w:p>
    <w:p w14:paraId="4D6C4EBF">
      <w:pPr>
        <w:spacing w:line="360" w:lineRule="auto"/>
        <w:ind w:firstLine="640" w:firstLineChars="200"/>
        <w:rPr>
          <w:rFonts w:ascii="方正仿宋_GBK" w:eastAsia="方正仿宋_GBK"/>
          <w:sz w:val="32"/>
          <w:szCs w:val="24"/>
          <w:lang w:eastAsia="zh-CN"/>
        </w:rPr>
      </w:pPr>
      <w:r>
        <w:rPr>
          <w:rFonts w:hint="eastAsia" w:ascii="宋体" w:hAnsi="宋体" w:eastAsia="方正仿宋_GBK" w:cs="方正楷体_GBK"/>
          <w:sz w:val="32"/>
          <w:szCs w:val="32"/>
          <w:lang w:eastAsia="zh-CN"/>
        </w:rPr>
        <w:t>信息系统操作和升级等方法详见国家项目办制定的《心血管病高危人群早期筛查与综合干预项目现场筛查操作手册》。</w:t>
      </w:r>
    </w:p>
    <w:p w14:paraId="4F15D0A6">
      <w:pPr>
        <w:spacing w:line="360" w:lineRule="auto"/>
        <w:ind w:firstLine="643" w:firstLineChars="200"/>
        <w:rPr>
          <w:rFonts w:ascii="方正黑体_GBK" w:eastAsia="方正黑体_GBK"/>
          <w:b/>
          <w:sz w:val="32"/>
          <w:szCs w:val="24"/>
          <w:lang w:eastAsia="zh-CN"/>
        </w:rPr>
      </w:pPr>
      <w:r>
        <w:rPr>
          <w:rFonts w:hint="eastAsia" w:ascii="方正黑体_GBK" w:eastAsia="方正黑体_GBK"/>
          <w:b/>
          <w:sz w:val="32"/>
          <w:szCs w:val="24"/>
          <w:lang w:eastAsia="zh-CN"/>
        </w:rPr>
        <w:t>五、机构职责</w:t>
      </w:r>
    </w:p>
    <w:p w14:paraId="12F2534A">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（一）省级组织机构</w:t>
      </w:r>
    </w:p>
    <w:p w14:paraId="7571EF55">
      <w:pPr>
        <w:spacing w:line="360" w:lineRule="auto"/>
        <w:ind w:firstLine="640" w:firstLineChars="200"/>
        <w:rPr>
          <w:rFonts w:hint="eastAsia" w:ascii="方正仿宋_GBK" w:eastAsia="方正仿宋_GBK"/>
          <w:sz w:val="32"/>
          <w:szCs w:val="24"/>
          <w:lang w:eastAsia="zh-CN"/>
        </w:rPr>
      </w:pPr>
      <w:r>
        <w:rPr>
          <w:rFonts w:hint="eastAsia" w:ascii="方正仿宋_GBK" w:eastAsia="方正仿宋_GBK"/>
          <w:sz w:val="32"/>
          <w:szCs w:val="24"/>
          <w:lang w:eastAsia="zh-CN"/>
        </w:rPr>
        <w:t>项目领导小组设在省卫生健康委，由医疗应急处组织实施。项目办公室设在省疾控中心慢病所，处理日常事务，实施有关专业会议、人员培训、现场指导和质量评估，完成年度项目验收、数据汇总和分析总结。</w:t>
      </w:r>
      <w:r>
        <w:rPr>
          <w:rFonts w:hint="eastAsia" w:ascii="方正仿宋_GBK" w:hAnsi="Arial" w:eastAsia="方正仿宋_GBK" w:cs="Arial"/>
          <w:sz w:val="32"/>
          <w:szCs w:val="24"/>
          <w:lang w:eastAsia="zh-CN"/>
        </w:rPr>
        <w:t>昆明医科大学第一附属医院为省级技术支持单位，主要负责全</w:t>
      </w:r>
      <w:r>
        <w:rPr>
          <w:rFonts w:hint="eastAsia" w:ascii="方正仿宋_GBK" w:eastAsia="方正仿宋_GBK"/>
          <w:sz w:val="32"/>
          <w:szCs w:val="24"/>
          <w:lang w:eastAsia="zh-CN"/>
        </w:rPr>
        <w:t>省项目相关医疗服务技术支持，协助省项目办公室进行项目技术培训以及数据分析总结等。</w:t>
      </w:r>
    </w:p>
    <w:p w14:paraId="2EF78B96">
      <w:pPr>
        <w:spacing w:line="360" w:lineRule="auto"/>
        <w:ind w:firstLine="643" w:firstLineChars="200"/>
        <w:rPr>
          <w:rFonts w:ascii="方正楷体_GBK" w:eastAsia="方正楷体_GBK"/>
          <w:b/>
          <w:sz w:val="32"/>
          <w:szCs w:val="24"/>
          <w:lang w:eastAsia="zh-CN"/>
        </w:rPr>
      </w:pPr>
      <w:r>
        <w:rPr>
          <w:rFonts w:hint="eastAsia" w:ascii="方正楷体_GBK" w:eastAsia="方正楷体_GBK"/>
          <w:b/>
          <w:sz w:val="32"/>
          <w:szCs w:val="24"/>
          <w:lang w:eastAsia="zh-CN"/>
        </w:rPr>
        <w:t>（二）项目点组织管理</w:t>
      </w:r>
    </w:p>
    <w:p w14:paraId="69B2CF22">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各州市和县区卫生健康委（局）负责项目的组织实施，按照既往工作模式和分工开展工作。。</w:t>
      </w:r>
    </w:p>
    <w:p w14:paraId="140CDF6F">
      <w:pPr>
        <w:spacing w:line="360" w:lineRule="auto"/>
        <w:ind w:firstLine="640" w:firstLineChars="200"/>
        <w:rPr>
          <w:rFonts w:ascii="方正仿宋_GBK" w:eastAsia="方正仿宋_GBK"/>
          <w:sz w:val="32"/>
          <w:szCs w:val="24"/>
          <w:lang w:eastAsia="zh-CN"/>
        </w:rPr>
      </w:pPr>
      <w:r>
        <w:rPr>
          <w:rFonts w:hint="eastAsia" w:ascii="方正仿宋_GBK" w:eastAsia="方正仿宋_GBK"/>
          <w:sz w:val="32"/>
          <w:szCs w:val="24"/>
          <w:lang w:eastAsia="zh-CN"/>
        </w:rPr>
        <w:t>新增项目点元谋县、景谷县，负责新增项目点工作的具体实施和日常管理，省、州（市）疾控中心协助管理，并给予人员培训、现场指导和质控等工作的支持。</w:t>
      </w:r>
    </w:p>
    <w:p w14:paraId="6D8363EF">
      <w:pPr>
        <w:spacing w:line="360" w:lineRule="auto"/>
        <w:ind w:firstLine="643" w:firstLineChars="200"/>
        <w:rPr>
          <w:rFonts w:hint="eastAsia" w:ascii="方正黑体_GBK" w:eastAsia="方正黑体_GBK"/>
          <w:b/>
          <w:sz w:val="32"/>
          <w:szCs w:val="24"/>
          <w:lang w:eastAsia="zh-CN"/>
        </w:rPr>
      </w:pPr>
      <w:r>
        <w:rPr>
          <w:rFonts w:hint="eastAsia" w:ascii="方正黑体_GBK" w:eastAsia="方正黑体_GBK"/>
          <w:b/>
          <w:sz w:val="32"/>
          <w:szCs w:val="24"/>
          <w:lang w:eastAsia="zh-CN"/>
        </w:rPr>
        <w:t>六、资金保障</w:t>
      </w:r>
    </w:p>
    <w:p w14:paraId="5F8A1463">
      <w:pPr>
        <w:bidi w:val="0"/>
        <w:rPr>
          <w:rFonts w:hint="eastAsia" w:ascii="Arial" w:hAnsi="Arial" w:cs="Arial" w:eastAsiaTheme="minorEastAsia"/>
          <w:snapToGrid w:val="0"/>
          <w:color w:val="000000"/>
          <w:sz w:val="21"/>
          <w:szCs w:val="21"/>
          <w:lang w:val="en-US" w:eastAsia="zh-CN" w:bidi="ar-SA"/>
        </w:rPr>
      </w:pPr>
    </w:p>
    <w:p w14:paraId="130548E0">
      <w:pPr>
        <w:spacing w:line="360" w:lineRule="auto"/>
        <w:ind w:firstLine="420" w:firstLineChars="200"/>
        <w:rPr>
          <w:rFonts w:hint="eastAsia" w:ascii="方正仿宋_GBK" w:eastAsia="方正仿宋_GBK"/>
          <w:sz w:val="32"/>
          <w:szCs w:val="24"/>
          <w:lang w:eastAsia="zh-CN"/>
        </w:rPr>
      </w:pPr>
      <w:r>
        <w:rPr>
          <w:rFonts w:hint="eastAsia"/>
          <w:lang w:val="en-US" w:eastAsia="zh-CN"/>
        </w:rPr>
        <w:tab/>
      </w:r>
      <w:r>
        <w:rPr>
          <w:rFonts w:hint="eastAsia" w:ascii="方正仿宋_GBK" w:eastAsia="方正仿宋_GBK"/>
          <w:sz w:val="32"/>
          <w:szCs w:val="24"/>
          <w:lang w:eastAsia="zh-CN"/>
        </w:rPr>
        <w:t>此项目资金为重大公共卫生服务项目中央补助资金，主要用于人员培训、宣传动员、初筛、高危人群筛查评估、随访所需的人员及劳务费用、项目必需设备购置费用、调查问卷、知情同意书印刷费用以及调查工作中所产生的其他费用。如本级医疗单位执行项目存在困难，可向上级医院申请支持和购买服务。筛查经费拨付至对应项目医院的，由筛查医院拨付至筛查社区，建议社区项目工作启动时先拨付一定比例项目经费，任务完成后根据任务完成情况再兑付剩余经费。项目医院可根据社区实际筛查进展情况进行任务调整。</w:t>
      </w:r>
    </w:p>
    <w:p w14:paraId="233C5603">
      <w:pPr>
        <w:spacing w:line="360" w:lineRule="auto"/>
        <w:ind w:firstLine="640" w:firstLineChars="200"/>
        <w:rPr>
          <w:rFonts w:hint="eastAsia" w:ascii="方正仿宋_GBK" w:eastAsia="方正仿宋_GBK"/>
          <w:sz w:val="32"/>
          <w:szCs w:val="24"/>
          <w:lang w:val="en-US" w:eastAsia="zh-CN"/>
        </w:rPr>
      </w:pPr>
      <w:r>
        <w:rPr>
          <w:rFonts w:hint="eastAsia" w:ascii="方正仿宋_GBK" w:eastAsia="方正仿宋_GBK"/>
          <w:sz w:val="32"/>
          <w:szCs w:val="24"/>
          <w:lang w:val="en-US" w:eastAsia="zh-CN"/>
        </w:rPr>
        <w:t>附件：工作组成员</w:t>
      </w:r>
    </w:p>
    <w:tbl>
      <w:tblPr>
        <w:tblStyle w:val="10"/>
        <w:tblpPr w:leftFromText="180" w:rightFromText="180" w:vertAnchor="text" w:horzAnchor="page" w:tblpX="1882" w:tblpY="634"/>
        <w:tblOverlap w:val="never"/>
        <w:tblW w:w="476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1"/>
        <w:gridCol w:w="1162"/>
        <w:gridCol w:w="4429"/>
        <w:gridCol w:w="1225"/>
      </w:tblGrid>
      <w:tr w14:paraId="5DB6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exact"/>
        </w:trPr>
        <w:tc>
          <w:tcPr>
            <w:tcW w:w="806" w:type="pct"/>
            <w:vAlign w:val="center"/>
          </w:tcPr>
          <w:p w14:paraId="3E653B44">
            <w:pPr>
              <w:widowControl w:val="0"/>
              <w:spacing w:line="240" w:lineRule="auto"/>
              <w:jc w:val="center"/>
              <w:rPr>
                <w:rFonts w:hint="default" w:ascii="方正仿宋_GBK" w:eastAsia="方正仿宋_GBK"/>
                <w:b/>
                <w:bCs/>
                <w:sz w:val="28"/>
                <w:szCs w:val="28"/>
                <w:vertAlign w:val="baseline"/>
                <w:lang w:val="en-US" w:eastAsia="zh-CN"/>
              </w:rPr>
            </w:pPr>
            <w:r>
              <w:rPr>
                <w:rFonts w:hint="eastAsia" w:ascii="方正仿宋_GBK" w:eastAsia="方正仿宋_GBK"/>
                <w:b/>
                <w:bCs/>
                <w:sz w:val="28"/>
                <w:szCs w:val="28"/>
                <w:vertAlign w:val="baseline"/>
                <w:lang w:val="en-US" w:eastAsia="zh-CN"/>
              </w:rPr>
              <w:t>项目组办公室</w:t>
            </w:r>
          </w:p>
        </w:tc>
        <w:tc>
          <w:tcPr>
            <w:tcW w:w="3439" w:type="pct"/>
            <w:gridSpan w:val="2"/>
            <w:vAlign w:val="center"/>
          </w:tcPr>
          <w:p w14:paraId="07513AD3">
            <w:pPr>
              <w:widowControl w:val="0"/>
              <w:spacing w:line="240" w:lineRule="auto"/>
              <w:jc w:val="center"/>
              <w:rPr>
                <w:rFonts w:hint="eastAsia" w:ascii="方正仿宋_GBK" w:eastAsia="方正仿宋_GBK"/>
                <w:b/>
                <w:bCs/>
                <w:sz w:val="28"/>
                <w:szCs w:val="28"/>
                <w:vertAlign w:val="baseline"/>
                <w:lang w:val="en-US" w:eastAsia="zh-CN"/>
              </w:rPr>
            </w:pPr>
            <w:r>
              <w:rPr>
                <w:rFonts w:hint="eastAsia" w:ascii="方正仿宋_GBK" w:eastAsia="方正仿宋_GBK"/>
                <w:b/>
                <w:bCs/>
                <w:sz w:val="28"/>
                <w:szCs w:val="28"/>
                <w:vertAlign w:val="baseline"/>
                <w:lang w:val="en-US" w:eastAsia="zh-CN"/>
              </w:rPr>
              <w:t>成 员</w:t>
            </w:r>
          </w:p>
        </w:tc>
        <w:tc>
          <w:tcPr>
            <w:tcW w:w="753" w:type="pct"/>
            <w:vAlign w:val="center"/>
          </w:tcPr>
          <w:p w14:paraId="1D2CAD62">
            <w:pPr>
              <w:widowControl w:val="0"/>
              <w:spacing w:line="240" w:lineRule="auto"/>
              <w:jc w:val="center"/>
              <w:rPr>
                <w:rFonts w:hint="default" w:ascii="方正仿宋_GBK" w:eastAsia="方正仿宋_GBK"/>
                <w:b/>
                <w:bCs/>
                <w:sz w:val="28"/>
                <w:szCs w:val="28"/>
                <w:vertAlign w:val="baseline"/>
                <w:lang w:val="en-US" w:eastAsia="zh-CN"/>
              </w:rPr>
            </w:pPr>
            <w:r>
              <w:rPr>
                <w:rFonts w:hint="eastAsia" w:ascii="方正仿宋_GBK" w:eastAsia="方正仿宋_GBK"/>
                <w:b/>
                <w:bCs/>
                <w:sz w:val="28"/>
                <w:szCs w:val="28"/>
                <w:vertAlign w:val="baseline"/>
                <w:lang w:val="en-US" w:eastAsia="zh-CN"/>
              </w:rPr>
              <w:t>职责</w:t>
            </w:r>
          </w:p>
        </w:tc>
      </w:tr>
      <w:tr w14:paraId="0922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exact"/>
        </w:trPr>
        <w:tc>
          <w:tcPr>
            <w:tcW w:w="806" w:type="pct"/>
            <w:vAlign w:val="center"/>
          </w:tcPr>
          <w:p w14:paraId="607BE465">
            <w:pPr>
              <w:widowControl w:val="0"/>
              <w:spacing w:line="240" w:lineRule="auto"/>
              <w:jc w:val="center"/>
              <w:rPr>
                <w:rFonts w:hint="default" w:ascii="仿宋_GB2312" w:hAnsi="Arial" w:eastAsia="仿宋_GB2312" w:cs="Arial"/>
                <w:sz w:val="28"/>
                <w:szCs w:val="28"/>
                <w:lang w:val="en-US" w:eastAsia="zh-CN"/>
              </w:rPr>
            </w:pPr>
            <w:r>
              <w:rPr>
                <w:rFonts w:hint="eastAsia" w:ascii="仿宋_GB2312" w:eastAsia="仿宋_GB2312" w:cs="Arial"/>
                <w:sz w:val="28"/>
                <w:szCs w:val="28"/>
                <w:lang w:val="en-US" w:eastAsia="zh-CN"/>
              </w:rPr>
              <w:t>主 任</w:t>
            </w:r>
          </w:p>
        </w:tc>
        <w:tc>
          <w:tcPr>
            <w:tcW w:w="714" w:type="pct"/>
            <w:vAlign w:val="center"/>
          </w:tcPr>
          <w:p w14:paraId="4EAE4562">
            <w:pPr>
              <w:widowControl w:val="0"/>
              <w:spacing w:line="240" w:lineRule="auto"/>
              <w:jc w:val="center"/>
              <w:rPr>
                <w:rFonts w:hint="eastAsia" w:ascii="仿宋_GB2312" w:hAnsi="Arial" w:eastAsia="仿宋_GB2312" w:cs="Arial"/>
                <w:sz w:val="28"/>
                <w:szCs w:val="28"/>
                <w:lang w:val="en-US" w:eastAsia="zh-CN"/>
              </w:rPr>
            </w:pPr>
            <w:r>
              <w:rPr>
                <w:rFonts w:hint="eastAsia" w:ascii="仿宋_GB2312" w:hAnsi="Arial" w:eastAsia="仿宋_GB2312" w:cs="Arial"/>
                <w:sz w:val="28"/>
                <w:szCs w:val="28"/>
              </w:rPr>
              <w:t>查  舜</w:t>
            </w:r>
          </w:p>
        </w:tc>
        <w:tc>
          <w:tcPr>
            <w:tcW w:w="2724" w:type="pct"/>
            <w:vAlign w:val="center"/>
          </w:tcPr>
          <w:p w14:paraId="18B09334">
            <w:pPr>
              <w:widowControl w:val="0"/>
              <w:spacing w:line="240" w:lineRule="auto"/>
              <w:jc w:val="both"/>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云南省疾控中心主任医师</w:t>
            </w:r>
          </w:p>
        </w:tc>
        <w:tc>
          <w:tcPr>
            <w:tcW w:w="753" w:type="pct"/>
            <w:vMerge w:val="restart"/>
            <w:vAlign w:val="center"/>
          </w:tcPr>
          <w:p w14:paraId="5EF185C5">
            <w:pPr>
              <w:widowControl w:val="0"/>
              <w:spacing w:line="240" w:lineRule="auto"/>
              <w:jc w:val="center"/>
              <w:rPr>
                <w:rFonts w:hint="eastAsia" w:ascii="仿宋_GB2312" w:hAnsi="Arial" w:eastAsia="仿宋_GB2312" w:cs="Arial"/>
                <w:sz w:val="28"/>
                <w:szCs w:val="28"/>
                <w:lang w:val="en-US" w:eastAsia="zh-CN"/>
              </w:rPr>
            </w:pPr>
            <w:r>
              <w:rPr>
                <w:rFonts w:hint="eastAsia" w:ascii="仿宋_GB2312" w:hAnsi="Arial" w:eastAsia="仿宋_GB2312" w:cs="Arial"/>
                <w:sz w:val="28"/>
                <w:szCs w:val="28"/>
                <w:lang w:eastAsia="zh-CN"/>
              </w:rPr>
              <w:t>实施有关专业会议、人员培训、现场指导和质量评估，完成年度项目验收、数据汇总和分析总结</w:t>
            </w:r>
          </w:p>
        </w:tc>
      </w:tr>
      <w:tr w14:paraId="69C3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trPr>
        <w:tc>
          <w:tcPr>
            <w:tcW w:w="806" w:type="pct"/>
            <w:vMerge w:val="restart"/>
            <w:vAlign w:val="center"/>
          </w:tcPr>
          <w:p w14:paraId="454DAEE5">
            <w:pPr>
              <w:widowControl w:val="0"/>
              <w:spacing w:line="240" w:lineRule="auto"/>
              <w:jc w:val="center"/>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副主任</w:t>
            </w:r>
          </w:p>
        </w:tc>
        <w:tc>
          <w:tcPr>
            <w:tcW w:w="714" w:type="pct"/>
            <w:vAlign w:val="center"/>
          </w:tcPr>
          <w:p w14:paraId="63B3E502">
            <w:pPr>
              <w:widowControl w:val="0"/>
              <w:spacing w:line="240" w:lineRule="auto"/>
              <w:jc w:val="center"/>
              <w:rPr>
                <w:rFonts w:hint="eastAsia" w:ascii="仿宋_GB2312" w:hAnsi="Arial" w:eastAsia="仿宋_GB2312" w:cs="Arial"/>
                <w:sz w:val="28"/>
                <w:szCs w:val="28"/>
                <w:lang w:val="en-US" w:eastAsia="zh-CN"/>
              </w:rPr>
            </w:pPr>
            <w:r>
              <w:rPr>
                <w:rFonts w:hint="eastAsia" w:ascii="仿宋_GB2312" w:hAnsi="Arial" w:eastAsia="仿宋_GB2312" w:cs="Arial"/>
                <w:sz w:val="28"/>
                <w:szCs w:val="28"/>
              </w:rPr>
              <w:t>陈  杨</w:t>
            </w:r>
          </w:p>
        </w:tc>
        <w:tc>
          <w:tcPr>
            <w:tcW w:w="2724" w:type="pct"/>
            <w:vAlign w:val="center"/>
          </w:tcPr>
          <w:p w14:paraId="634ACEBB">
            <w:pPr>
              <w:widowControl w:val="0"/>
              <w:spacing w:line="240" w:lineRule="auto"/>
              <w:jc w:val="both"/>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云南省疾控中心慢病所主任医师</w:t>
            </w:r>
          </w:p>
        </w:tc>
        <w:tc>
          <w:tcPr>
            <w:tcW w:w="753" w:type="pct"/>
            <w:vMerge w:val="continue"/>
            <w:vAlign w:val="center"/>
          </w:tcPr>
          <w:p w14:paraId="5DA40E14">
            <w:pPr>
              <w:widowControl w:val="0"/>
              <w:spacing w:line="240" w:lineRule="auto"/>
              <w:jc w:val="center"/>
              <w:rPr>
                <w:rFonts w:hint="eastAsia" w:ascii="仿宋_GB2312" w:hAnsi="Arial" w:eastAsia="仿宋_GB2312" w:cs="Arial"/>
                <w:sz w:val="28"/>
                <w:szCs w:val="28"/>
                <w:lang w:val="en-US" w:eastAsia="zh-CN"/>
              </w:rPr>
            </w:pPr>
          </w:p>
        </w:tc>
      </w:tr>
      <w:tr w14:paraId="6255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exact"/>
        </w:trPr>
        <w:tc>
          <w:tcPr>
            <w:tcW w:w="806" w:type="pct"/>
            <w:vMerge w:val="continue"/>
            <w:vAlign w:val="center"/>
          </w:tcPr>
          <w:p w14:paraId="1DF9EC3D">
            <w:pPr>
              <w:widowControl w:val="0"/>
              <w:spacing w:line="240" w:lineRule="auto"/>
              <w:jc w:val="center"/>
              <w:rPr>
                <w:rFonts w:hint="eastAsia" w:ascii="仿宋_GB2312" w:hAnsi="Arial" w:eastAsia="仿宋_GB2312" w:cs="Arial"/>
                <w:sz w:val="28"/>
                <w:szCs w:val="28"/>
                <w:lang w:val="en-US" w:eastAsia="zh-CN"/>
              </w:rPr>
            </w:pPr>
          </w:p>
        </w:tc>
        <w:tc>
          <w:tcPr>
            <w:tcW w:w="714" w:type="pct"/>
            <w:shd w:val="clear" w:color="auto" w:fill="auto"/>
            <w:vAlign w:val="center"/>
          </w:tcPr>
          <w:p w14:paraId="51017D43">
            <w:pPr>
              <w:widowControl w:val="0"/>
              <w:spacing w:line="240" w:lineRule="auto"/>
              <w:jc w:val="center"/>
              <w:rPr>
                <w:rFonts w:hint="eastAsia" w:ascii="仿宋_GB2312" w:hAnsi="Arial" w:eastAsia="仿宋_GB2312" w:cs="Arial"/>
                <w:snapToGrid w:val="0"/>
                <w:color w:val="000000"/>
                <w:sz w:val="28"/>
                <w:szCs w:val="28"/>
                <w:lang w:val="en-US" w:eastAsia="zh-CN" w:bidi="ar-SA"/>
              </w:rPr>
            </w:pPr>
            <w:r>
              <w:rPr>
                <w:rFonts w:hint="eastAsia" w:ascii="仿宋_GB2312" w:eastAsia="仿宋_GB2312" w:cs="Arial"/>
                <w:sz w:val="28"/>
                <w:szCs w:val="28"/>
                <w:lang w:val="en-US" w:eastAsia="zh-CN"/>
              </w:rPr>
              <w:t>石青萍</w:t>
            </w:r>
          </w:p>
        </w:tc>
        <w:tc>
          <w:tcPr>
            <w:tcW w:w="2724" w:type="pct"/>
            <w:shd w:val="clear" w:color="auto" w:fill="auto"/>
            <w:vAlign w:val="center"/>
          </w:tcPr>
          <w:p w14:paraId="2E98325C">
            <w:pPr>
              <w:widowControl w:val="0"/>
              <w:spacing w:line="240" w:lineRule="auto"/>
              <w:jc w:val="center"/>
              <w:rPr>
                <w:rFonts w:hint="eastAsia" w:ascii="仿宋_GB2312" w:hAnsi="Arial" w:eastAsia="仿宋_GB2312" w:cs="Arial"/>
                <w:snapToGrid w:val="0"/>
                <w:color w:val="000000"/>
                <w:sz w:val="28"/>
                <w:szCs w:val="28"/>
                <w:lang w:val="en-US" w:eastAsia="zh-CN" w:bidi="ar-SA"/>
              </w:rPr>
            </w:pPr>
            <w:r>
              <w:rPr>
                <w:rFonts w:hint="eastAsia" w:ascii="仿宋_GB2312" w:hAnsi="Arial" w:eastAsia="仿宋_GB2312" w:cs="Arial"/>
                <w:sz w:val="28"/>
                <w:szCs w:val="28"/>
                <w:lang w:val="en-US" w:eastAsia="zh-CN"/>
              </w:rPr>
              <w:t>云南省疾控中心慢病所副主任医师</w:t>
            </w:r>
          </w:p>
        </w:tc>
        <w:tc>
          <w:tcPr>
            <w:tcW w:w="753" w:type="pct"/>
            <w:vMerge w:val="continue"/>
            <w:vAlign w:val="center"/>
          </w:tcPr>
          <w:p w14:paraId="24D9259D">
            <w:pPr>
              <w:widowControl w:val="0"/>
              <w:spacing w:line="240" w:lineRule="auto"/>
              <w:jc w:val="center"/>
              <w:rPr>
                <w:rFonts w:hint="eastAsia" w:ascii="仿宋_GB2312" w:hAnsi="Arial" w:eastAsia="仿宋_GB2312" w:cs="Arial"/>
                <w:sz w:val="28"/>
                <w:szCs w:val="28"/>
                <w:lang w:val="en-US" w:eastAsia="zh-CN"/>
              </w:rPr>
            </w:pPr>
          </w:p>
        </w:tc>
      </w:tr>
      <w:tr w14:paraId="72D5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806" w:type="pct"/>
            <w:vMerge w:val="restart"/>
            <w:vAlign w:val="center"/>
          </w:tcPr>
          <w:p w14:paraId="249FDE8B">
            <w:pPr>
              <w:widowControl w:val="0"/>
              <w:spacing w:line="240" w:lineRule="auto"/>
              <w:jc w:val="center"/>
              <w:rPr>
                <w:rFonts w:hint="eastAsia"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成</w:t>
            </w:r>
            <w:r>
              <w:rPr>
                <w:rFonts w:hint="eastAsia" w:ascii="仿宋_GB2312" w:eastAsia="仿宋_GB2312" w:cs="Arial"/>
                <w:sz w:val="28"/>
                <w:szCs w:val="28"/>
                <w:lang w:val="en-US" w:eastAsia="zh-CN"/>
              </w:rPr>
              <w:t xml:space="preserve">  </w:t>
            </w:r>
            <w:r>
              <w:rPr>
                <w:rFonts w:hint="eastAsia" w:ascii="仿宋_GB2312" w:hAnsi="Arial" w:eastAsia="仿宋_GB2312" w:cs="Arial"/>
                <w:sz w:val="28"/>
                <w:szCs w:val="28"/>
                <w:lang w:val="en-US" w:eastAsia="zh-CN"/>
              </w:rPr>
              <w:t>员</w:t>
            </w:r>
          </w:p>
        </w:tc>
        <w:tc>
          <w:tcPr>
            <w:tcW w:w="714" w:type="pct"/>
            <w:shd w:val="clear" w:color="auto" w:fill="auto"/>
            <w:vAlign w:val="center"/>
          </w:tcPr>
          <w:p w14:paraId="4A377530">
            <w:pPr>
              <w:widowControl w:val="0"/>
              <w:spacing w:line="240" w:lineRule="auto"/>
              <w:jc w:val="center"/>
              <w:rPr>
                <w:rFonts w:hint="eastAsia" w:ascii="仿宋_GB2312" w:hAnsi="Arial" w:eastAsia="仿宋_GB2312" w:cs="Arial"/>
                <w:snapToGrid w:val="0"/>
                <w:color w:val="000000"/>
                <w:sz w:val="28"/>
                <w:szCs w:val="28"/>
                <w:lang w:val="en-US" w:eastAsia="zh-CN" w:bidi="ar-SA"/>
              </w:rPr>
            </w:pPr>
            <w:r>
              <w:rPr>
                <w:rFonts w:hint="eastAsia" w:ascii="仿宋_GB2312" w:hAnsi="Arial" w:eastAsia="仿宋_GB2312" w:cs="Arial"/>
                <w:sz w:val="28"/>
                <w:szCs w:val="28"/>
                <w:lang w:val="en-US" w:eastAsia="zh-CN"/>
              </w:rPr>
              <w:t>唐  娴</w:t>
            </w:r>
          </w:p>
        </w:tc>
        <w:tc>
          <w:tcPr>
            <w:tcW w:w="2724" w:type="pct"/>
            <w:shd w:val="clear" w:color="auto" w:fill="auto"/>
            <w:vAlign w:val="center"/>
          </w:tcPr>
          <w:p w14:paraId="17E91FA3">
            <w:pPr>
              <w:widowControl w:val="0"/>
              <w:spacing w:line="240" w:lineRule="auto"/>
              <w:jc w:val="center"/>
              <w:rPr>
                <w:rFonts w:hint="eastAsia" w:ascii="仿宋_GB2312" w:hAnsi="Arial" w:eastAsia="仿宋_GB2312" w:cs="Arial"/>
                <w:snapToGrid w:val="0"/>
                <w:color w:val="000000"/>
                <w:sz w:val="28"/>
                <w:szCs w:val="28"/>
                <w:lang w:val="en-US" w:eastAsia="zh-CN" w:bidi="ar-SA"/>
              </w:rPr>
            </w:pPr>
            <w:r>
              <w:rPr>
                <w:rFonts w:hint="eastAsia" w:ascii="仿宋_GB2312" w:hAnsi="Arial" w:eastAsia="仿宋_GB2312" w:cs="Arial"/>
                <w:sz w:val="28"/>
                <w:szCs w:val="28"/>
                <w:lang w:val="en-US" w:eastAsia="zh-CN"/>
              </w:rPr>
              <w:t>云南省疾控中心慢病所副主任医师</w:t>
            </w:r>
          </w:p>
        </w:tc>
        <w:tc>
          <w:tcPr>
            <w:tcW w:w="753" w:type="pct"/>
            <w:vMerge w:val="continue"/>
            <w:vAlign w:val="center"/>
          </w:tcPr>
          <w:p w14:paraId="1D685DC8">
            <w:pPr>
              <w:widowControl w:val="0"/>
              <w:spacing w:line="240" w:lineRule="auto"/>
              <w:jc w:val="center"/>
              <w:rPr>
                <w:rFonts w:hint="eastAsia" w:ascii="仿宋_GB2312" w:hAnsi="Arial" w:eastAsia="仿宋_GB2312" w:cs="Arial"/>
                <w:sz w:val="28"/>
                <w:szCs w:val="28"/>
                <w:lang w:val="en-US" w:eastAsia="zh-CN"/>
              </w:rPr>
            </w:pPr>
          </w:p>
        </w:tc>
      </w:tr>
      <w:tr w14:paraId="4B71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exact"/>
        </w:trPr>
        <w:tc>
          <w:tcPr>
            <w:tcW w:w="806" w:type="pct"/>
            <w:vMerge w:val="continue"/>
            <w:vAlign w:val="center"/>
          </w:tcPr>
          <w:p w14:paraId="4AE6AF48">
            <w:pPr>
              <w:widowControl w:val="0"/>
              <w:spacing w:line="240" w:lineRule="auto"/>
              <w:jc w:val="center"/>
              <w:rPr>
                <w:rFonts w:hint="eastAsia" w:ascii="仿宋_GB2312" w:hAnsi="Arial" w:eastAsia="仿宋_GB2312" w:cs="Arial"/>
                <w:sz w:val="28"/>
                <w:szCs w:val="28"/>
                <w:lang w:val="en-US" w:eastAsia="zh-CN"/>
              </w:rPr>
            </w:pPr>
          </w:p>
        </w:tc>
        <w:tc>
          <w:tcPr>
            <w:tcW w:w="714" w:type="pct"/>
            <w:vAlign w:val="center"/>
          </w:tcPr>
          <w:p w14:paraId="25A5274E">
            <w:pPr>
              <w:widowControl w:val="0"/>
              <w:spacing w:line="240" w:lineRule="auto"/>
              <w:jc w:val="center"/>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杨沧江</w:t>
            </w:r>
          </w:p>
        </w:tc>
        <w:tc>
          <w:tcPr>
            <w:tcW w:w="2724" w:type="pct"/>
            <w:vAlign w:val="center"/>
          </w:tcPr>
          <w:p w14:paraId="36AD751D">
            <w:pPr>
              <w:widowControl w:val="0"/>
              <w:spacing w:line="240" w:lineRule="auto"/>
              <w:jc w:val="both"/>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云南省疾控中心慢病所主任医师</w:t>
            </w:r>
          </w:p>
        </w:tc>
        <w:tc>
          <w:tcPr>
            <w:tcW w:w="753" w:type="pct"/>
            <w:vMerge w:val="continue"/>
            <w:vAlign w:val="center"/>
          </w:tcPr>
          <w:p w14:paraId="5160C3E4">
            <w:pPr>
              <w:widowControl w:val="0"/>
              <w:spacing w:line="240" w:lineRule="auto"/>
              <w:jc w:val="center"/>
              <w:rPr>
                <w:rFonts w:hint="eastAsia" w:ascii="仿宋_GB2312" w:hAnsi="Arial" w:eastAsia="仿宋_GB2312" w:cs="Arial"/>
                <w:sz w:val="28"/>
                <w:szCs w:val="28"/>
                <w:lang w:val="en-US" w:eastAsia="zh-CN"/>
              </w:rPr>
            </w:pPr>
          </w:p>
        </w:tc>
      </w:tr>
      <w:tr w14:paraId="0B21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rPr>
        <w:tc>
          <w:tcPr>
            <w:tcW w:w="806" w:type="pct"/>
            <w:vMerge w:val="continue"/>
            <w:vAlign w:val="center"/>
          </w:tcPr>
          <w:p w14:paraId="0832D84A">
            <w:pPr>
              <w:widowControl w:val="0"/>
              <w:spacing w:line="240" w:lineRule="auto"/>
              <w:jc w:val="center"/>
              <w:rPr>
                <w:rFonts w:hint="eastAsia" w:ascii="仿宋_GB2312" w:hAnsi="Arial" w:eastAsia="仿宋_GB2312" w:cs="Arial"/>
                <w:sz w:val="28"/>
                <w:szCs w:val="28"/>
                <w:lang w:val="en-US" w:eastAsia="zh-CN"/>
              </w:rPr>
            </w:pPr>
          </w:p>
        </w:tc>
        <w:tc>
          <w:tcPr>
            <w:tcW w:w="714" w:type="pct"/>
            <w:vAlign w:val="center"/>
          </w:tcPr>
          <w:p w14:paraId="7F637962">
            <w:pPr>
              <w:widowControl w:val="0"/>
              <w:spacing w:line="240" w:lineRule="auto"/>
              <w:jc w:val="center"/>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朱云芳</w:t>
            </w:r>
          </w:p>
        </w:tc>
        <w:tc>
          <w:tcPr>
            <w:tcW w:w="2724" w:type="pct"/>
            <w:vAlign w:val="center"/>
          </w:tcPr>
          <w:p w14:paraId="1AEBCE75">
            <w:pPr>
              <w:widowControl w:val="0"/>
              <w:spacing w:line="240" w:lineRule="auto"/>
              <w:jc w:val="both"/>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云南省疾控中心慢病所主管医师</w:t>
            </w:r>
          </w:p>
        </w:tc>
        <w:tc>
          <w:tcPr>
            <w:tcW w:w="753" w:type="pct"/>
            <w:vMerge w:val="continue"/>
            <w:vAlign w:val="center"/>
          </w:tcPr>
          <w:p w14:paraId="5C29FBFE">
            <w:pPr>
              <w:widowControl w:val="0"/>
              <w:spacing w:line="240" w:lineRule="auto"/>
              <w:jc w:val="center"/>
              <w:rPr>
                <w:rFonts w:hint="eastAsia" w:ascii="仿宋_GB2312" w:hAnsi="Arial" w:eastAsia="仿宋_GB2312" w:cs="Arial"/>
                <w:sz w:val="28"/>
                <w:szCs w:val="28"/>
                <w:lang w:val="en-US" w:eastAsia="zh-CN"/>
              </w:rPr>
            </w:pPr>
          </w:p>
        </w:tc>
      </w:tr>
      <w:tr w14:paraId="6A5F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trPr>
        <w:tc>
          <w:tcPr>
            <w:tcW w:w="806" w:type="pct"/>
            <w:vMerge w:val="continue"/>
            <w:vAlign w:val="center"/>
          </w:tcPr>
          <w:p w14:paraId="5738007A">
            <w:pPr>
              <w:widowControl w:val="0"/>
              <w:spacing w:line="240" w:lineRule="auto"/>
              <w:jc w:val="center"/>
              <w:rPr>
                <w:rFonts w:hint="eastAsia" w:ascii="仿宋_GB2312" w:hAnsi="Arial" w:eastAsia="仿宋_GB2312" w:cs="Arial"/>
                <w:sz w:val="28"/>
                <w:szCs w:val="28"/>
                <w:lang w:val="en-US" w:eastAsia="zh-CN"/>
              </w:rPr>
            </w:pPr>
          </w:p>
        </w:tc>
        <w:tc>
          <w:tcPr>
            <w:tcW w:w="714" w:type="pct"/>
            <w:shd w:val="clear" w:color="auto" w:fill="auto"/>
            <w:vAlign w:val="center"/>
          </w:tcPr>
          <w:p w14:paraId="1452414A">
            <w:pPr>
              <w:widowControl w:val="0"/>
              <w:spacing w:line="240" w:lineRule="auto"/>
              <w:jc w:val="center"/>
              <w:rPr>
                <w:rFonts w:hint="eastAsia"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宋</w:t>
            </w:r>
            <w:r>
              <w:rPr>
                <w:rFonts w:hint="eastAsia" w:ascii="仿宋_GB2312" w:eastAsia="仿宋_GB2312" w:cs="Arial"/>
                <w:sz w:val="28"/>
                <w:szCs w:val="28"/>
                <w:lang w:val="en-US" w:eastAsia="zh-CN"/>
              </w:rPr>
              <w:t xml:space="preserve">  </w:t>
            </w:r>
            <w:r>
              <w:rPr>
                <w:rFonts w:hint="eastAsia" w:ascii="仿宋_GB2312" w:hAnsi="Arial" w:eastAsia="仿宋_GB2312" w:cs="Arial"/>
                <w:sz w:val="28"/>
                <w:szCs w:val="28"/>
                <w:lang w:val="en-US" w:eastAsia="zh-CN"/>
              </w:rPr>
              <w:t>欣</w:t>
            </w:r>
          </w:p>
        </w:tc>
        <w:tc>
          <w:tcPr>
            <w:tcW w:w="2724" w:type="pct"/>
            <w:shd w:val="clear" w:color="auto" w:fill="auto"/>
            <w:vAlign w:val="center"/>
          </w:tcPr>
          <w:p w14:paraId="30B5D730">
            <w:pPr>
              <w:widowControl w:val="0"/>
              <w:spacing w:line="240" w:lineRule="auto"/>
              <w:jc w:val="both"/>
              <w:rPr>
                <w:rFonts w:hint="default"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云南省疾控中心慢病所主管医师</w:t>
            </w:r>
          </w:p>
        </w:tc>
        <w:tc>
          <w:tcPr>
            <w:tcW w:w="753" w:type="pct"/>
            <w:vMerge w:val="continue"/>
            <w:vAlign w:val="center"/>
          </w:tcPr>
          <w:p w14:paraId="3D95F93B">
            <w:pPr>
              <w:widowControl w:val="0"/>
              <w:spacing w:line="240" w:lineRule="auto"/>
              <w:jc w:val="center"/>
              <w:rPr>
                <w:rFonts w:hint="eastAsia" w:ascii="仿宋_GB2312" w:hAnsi="Arial" w:eastAsia="仿宋_GB2312" w:cs="Arial"/>
                <w:sz w:val="28"/>
                <w:szCs w:val="28"/>
                <w:lang w:val="en-US" w:eastAsia="zh-CN"/>
              </w:rPr>
            </w:pPr>
          </w:p>
        </w:tc>
      </w:tr>
      <w:tr w14:paraId="3F45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trPr>
        <w:tc>
          <w:tcPr>
            <w:tcW w:w="806" w:type="pct"/>
            <w:vMerge w:val="continue"/>
            <w:vAlign w:val="center"/>
          </w:tcPr>
          <w:p w14:paraId="549DA156">
            <w:pPr>
              <w:widowControl w:val="0"/>
              <w:spacing w:line="240" w:lineRule="auto"/>
              <w:jc w:val="center"/>
              <w:rPr>
                <w:rFonts w:hint="eastAsia" w:ascii="仿宋_GB2312" w:hAnsi="Arial" w:eastAsia="仿宋_GB2312" w:cs="Arial"/>
                <w:sz w:val="28"/>
                <w:szCs w:val="28"/>
                <w:lang w:val="en-US" w:eastAsia="zh-CN"/>
              </w:rPr>
            </w:pPr>
          </w:p>
        </w:tc>
        <w:tc>
          <w:tcPr>
            <w:tcW w:w="714" w:type="pct"/>
            <w:shd w:val="clear" w:color="auto" w:fill="auto"/>
            <w:vAlign w:val="center"/>
          </w:tcPr>
          <w:p w14:paraId="11C6A184">
            <w:pPr>
              <w:widowControl w:val="0"/>
              <w:spacing w:line="240" w:lineRule="auto"/>
              <w:jc w:val="center"/>
              <w:rPr>
                <w:rFonts w:hint="eastAsia"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伍福仙</w:t>
            </w:r>
          </w:p>
        </w:tc>
        <w:tc>
          <w:tcPr>
            <w:tcW w:w="2724" w:type="pct"/>
            <w:shd w:val="clear" w:color="auto" w:fill="auto"/>
            <w:vAlign w:val="center"/>
          </w:tcPr>
          <w:p w14:paraId="2F4A225A">
            <w:pPr>
              <w:widowControl w:val="0"/>
              <w:spacing w:line="240" w:lineRule="auto"/>
              <w:jc w:val="left"/>
              <w:rPr>
                <w:rFonts w:hint="eastAsia"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云南省疾控中心慢病所医师</w:t>
            </w:r>
          </w:p>
        </w:tc>
        <w:tc>
          <w:tcPr>
            <w:tcW w:w="753" w:type="pct"/>
            <w:vMerge w:val="continue"/>
            <w:vAlign w:val="center"/>
          </w:tcPr>
          <w:p w14:paraId="571BF3E6">
            <w:pPr>
              <w:widowControl w:val="0"/>
              <w:spacing w:line="240" w:lineRule="auto"/>
              <w:jc w:val="center"/>
              <w:rPr>
                <w:rFonts w:hint="eastAsia" w:ascii="仿宋_GB2312" w:hAnsi="Arial" w:eastAsia="仿宋_GB2312" w:cs="Arial"/>
                <w:sz w:val="28"/>
                <w:szCs w:val="28"/>
                <w:lang w:val="en-US" w:eastAsia="zh-CN"/>
              </w:rPr>
            </w:pPr>
          </w:p>
        </w:tc>
      </w:tr>
      <w:tr w14:paraId="7000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exact"/>
        </w:trPr>
        <w:tc>
          <w:tcPr>
            <w:tcW w:w="806" w:type="pct"/>
            <w:vMerge w:val="continue"/>
            <w:vAlign w:val="center"/>
          </w:tcPr>
          <w:p w14:paraId="54D7B6F9">
            <w:pPr>
              <w:widowControl w:val="0"/>
              <w:spacing w:line="240" w:lineRule="auto"/>
              <w:jc w:val="center"/>
              <w:rPr>
                <w:rFonts w:hint="eastAsia" w:ascii="仿宋_GB2312" w:hAnsi="Arial" w:eastAsia="仿宋_GB2312" w:cs="Arial"/>
                <w:sz w:val="28"/>
                <w:szCs w:val="28"/>
                <w:lang w:val="en-US" w:eastAsia="zh-CN"/>
              </w:rPr>
            </w:pPr>
          </w:p>
        </w:tc>
        <w:tc>
          <w:tcPr>
            <w:tcW w:w="714" w:type="pct"/>
            <w:shd w:val="clear" w:color="auto" w:fill="auto"/>
            <w:vAlign w:val="center"/>
          </w:tcPr>
          <w:p w14:paraId="40583BC2">
            <w:pPr>
              <w:widowControl w:val="0"/>
              <w:spacing w:line="240" w:lineRule="auto"/>
              <w:jc w:val="center"/>
              <w:rPr>
                <w:rFonts w:hint="default" w:ascii="仿宋_GB2312" w:hAnsi="Arial" w:eastAsia="仿宋_GB2312" w:cs="Arial"/>
                <w:sz w:val="28"/>
                <w:szCs w:val="28"/>
                <w:lang w:val="en-US" w:eastAsia="zh-CN"/>
              </w:rPr>
            </w:pPr>
            <w:r>
              <w:rPr>
                <w:rFonts w:hint="eastAsia" w:ascii="仿宋_GB2312" w:eastAsia="仿宋_GB2312" w:cs="Arial"/>
                <w:sz w:val="28"/>
                <w:szCs w:val="28"/>
                <w:lang w:val="en-US" w:eastAsia="zh-CN"/>
              </w:rPr>
              <w:t>胡顺宇</w:t>
            </w:r>
          </w:p>
        </w:tc>
        <w:tc>
          <w:tcPr>
            <w:tcW w:w="2724" w:type="pct"/>
            <w:shd w:val="clear" w:color="auto" w:fill="auto"/>
            <w:vAlign w:val="center"/>
          </w:tcPr>
          <w:p w14:paraId="324AC4FB">
            <w:pPr>
              <w:widowControl w:val="0"/>
              <w:spacing w:line="240" w:lineRule="auto"/>
              <w:jc w:val="left"/>
              <w:rPr>
                <w:rFonts w:hint="eastAsia" w:ascii="仿宋_GB2312" w:hAnsi="Arial" w:eastAsia="仿宋_GB2312" w:cs="Arial"/>
                <w:sz w:val="28"/>
                <w:szCs w:val="28"/>
                <w:lang w:val="en-US" w:eastAsia="zh-CN"/>
              </w:rPr>
            </w:pPr>
            <w:r>
              <w:rPr>
                <w:rFonts w:hint="eastAsia" w:ascii="仿宋_GB2312" w:hAnsi="Arial" w:eastAsia="仿宋_GB2312" w:cs="Arial"/>
                <w:sz w:val="28"/>
                <w:szCs w:val="28"/>
                <w:lang w:val="en-US" w:eastAsia="zh-CN"/>
              </w:rPr>
              <w:t>云南省疾控中心慢病所医师</w:t>
            </w:r>
          </w:p>
        </w:tc>
        <w:tc>
          <w:tcPr>
            <w:tcW w:w="753" w:type="pct"/>
            <w:vAlign w:val="center"/>
          </w:tcPr>
          <w:p w14:paraId="7BB4690E">
            <w:pPr>
              <w:widowControl w:val="0"/>
              <w:spacing w:line="240" w:lineRule="auto"/>
              <w:jc w:val="center"/>
              <w:rPr>
                <w:rFonts w:hint="eastAsia" w:ascii="仿宋_GB2312" w:hAnsi="Arial" w:eastAsia="仿宋_GB2312" w:cs="Arial"/>
                <w:sz w:val="28"/>
                <w:szCs w:val="28"/>
                <w:lang w:val="en-US" w:eastAsia="zh-CN"/>
              </w:rPr>
            </w:pPr>
          </w:p>
        </w:tc>
      </w:tr>
      <w:tr w14:paraId="1714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trPr>
        <w:tc>
          <w:tcPr>
            <w:tcW w:w="806" w:type="pct"/>
            <w:vAlign w:val="center"/>
          </w:tcPr>
          <w:p w14:paraId="3318E4D0">
            <w:pPr>
              <w:widowControl w:val="0"/>
              <w:spacing w:line="240" w:lineRule="auto"/>
              <w:jc w:val="center"/>
              <w:rPr>
                <w:rFonts w:hint="default" w:ascii="方正仿宋_GBK" w:eastAsia="方正仿宋_GBK"/>
                <w:b/>
                <w:bCs/>
                <w:sz w:val="28"/>
                <w:szCs w:val="28"/>
                <w:vertAlign w:val="baseline"/>
                <w:lang w:val="en-US" w:eastAsia="zh-CN"/>
              </w:rPr>
            </w:pPr>
            <w:r>
              <w:rPr>
                <w:rFonts w:hint="eastAsia" w:ascii="方正仿宋_GBK" w:eastAsia="方正仿宋_GBK"/>
                <w:b/>
                <w:bCs/>
                <w:sz w:val="28"/>
                <w:szCs w:val="28"/>
                <w:vertAlign w:val="baseline"/>
                <w:lang w:val="en-US" w:eastAsia="zh-CN"/>
              </w:rPr>
              <w:t>省级技术指导组</w:t>
            </w:r>
          </w:p>
        </w:tc>
        <w:tc>
          <w:tcPr>
            <w:tcW w:w="3439" w:type="pct"/>
            <w:gridSpan w:val="2"/>
            <w:vAlign w:val="center"/>
          </w:tcPr>
          <w:p w14:paraId="7650DA82">
            <w:pPr>
              <w:widowControl w:val="0"/>
              <w:spacing w:line="240" w:lineRule="auto"/>
              <w:jc w:val="center"/>
              <w:rPr>
                <w:rFonts w:hint="eastAsia" w:ascii="方正仿宋_GBK" w:eastAsia="方正仿宋_GBK"/>
                <w:b/>
                <w:bCs/>
                <w:sz w:val="28"/>
                <w:szCs w:val="28"/>
                <w:vertAlign w:val="baseline"/>
                <w:lang w:val="en-US" w:eastAsia="zh-CN"/>
              </w:rPr>
            </w:pPr>
            <w:r>
              <w:rPr>
                <w:rFonts w:hint="eastAsia" w:ascii="方正仿宋_GBK" w:eastAsia="方正仿宋_GBK"/>
                <w:b/>
                <w:bCs/>
                <w:sz w:val="28"/>
                <w:szCs w:val="28"/>
                <w:vertAlign w:val="baseline"/>
                <w:lang w:val="en-US" w:eastAsia="zh-CN"/>
              </w:rPr>
              <w:t>成 员</w:t>
            </w:r>
          </w:p>
        </w:tc>
        <w:tc>
          <w:tcPr>
            <w:tcW w:w="753" w:type="pct"/>
            <w:vAlign w:val="center"/>
          </w:tcPr>
          <w:p w14:paraId="662FECFD">
            <w:pPr>
              <w:widowControl w:val="0"/>
              <w:spacing w:line="240" w:lineRule="auto"/>
              <w:jc w:val="center"/>
              <w:rPr>
                <w:rFonts w:hint="eastAsia" w:ascii="方正仿宋_GBK" w:eastAsia="方正仿宋_GBK"/>
                <w:b/>
                <w:bCs/>
                <w:sz w:val="28"/>
                <w:szCs w:val="28"/>
                <w:vertAlign w:val="baseline"/>
                <w:lang w:val="en-US" w:eastAsia="zh-CN"/>
              </w:rPr>
            </w:pPr>
            <w:r>
              <w:rPr>
                <w:rFonts w:hint="eastAsia" w:ascii="方正仿宋_GBK" w:eastAsia="方正仿宋_GBK"/>
                <w:b/>
                <w:bCs/>
                <w:sz w:val="28"/>
                <w:szCs w:val="28"/>
                <w:vertAlign w:val="baseline"/>
                <w:lang w:val="en-US" w:eastAsia="zh-CN"/>
              </w:rPr>
              <w:t>职责</w:t>
            </w:r>
          </w:p>
        </w:tc>
      </w:tr>
      <w:tr w14:paraId="5F24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806" w:type="pct"/>
            <w:vAlign w:val="center"/>
          </w:tcPr>
          <w:p w14:paraId="36B80AA6">
            <w:pPr>
              <w:widowControl w:val="0"/>
              <w:spacing w:line="240" w:lineRule="auto"/>
              <w:jc w:val="center"/>
              <w:rPr>
                <w:rFonts w:hint="default" w:ascii="方正仿宋_GBK" w:eastAsia="方正仿宋_GBK"/>
                <w:sz w:val="28"/>
                <w:szCs w:val="28"/>
                <w:vertAlign w:val="baseline"/>
                <w:lang w:val="en-US" w:eastAsia="zh-CN"/>
              </w:rPr>
            </w:pPr>
            <w:r>
              <w:rPr>
                <w:rFonts w:hint="eastAsia" w:ascii="方正仿宋_GBK" w:eastAsia="方正仿宋_GBK"/>
                <w:sz w:val="28"/>
                <w:szCs w:val="28"/>
                <w:vertAlign w:val="baseline"/>
                <w:lang w:val="en-US" w:eastAsia="zh-CN"/>
              </w:rPr>
              <w:t>组 长</w:t>
            </w:r>
          </w:p>
        </w:tc>
        <w:tc>
          <w:tcPr>
            <w:tcW w:w="714" w:type="pct"/>
            <w:vAlign w:val="center"/>
          </w:tcPr>
          <w:p w14:paraId="31540835">
            <w:pPr>
              <w:widowControl w:val="0"/>
              <w:spacing w:line="240" w:lineRule="auto"/>
              <w:jc w:val="center"/>
              <w:rPr>
                <w:rFonts w:hint="eastAsia" w:ascii="方正仿宋_GBK" w:eastAsia="方正仿宋_GBK"/>
                <w:sz w:val="28"/>
                <w:szCs w:val="28"/>
                <w:vertAlign w:val="baseline"/>
                <w:lang w:val="en-US" w:eastAsia="zh-CN"/>
              </w:rPr>
            </w:pPr>
            <w:r>
              <w:rPr>
                <w:rFonts w:hint="eastAsia" w:ascii="方正仿宋_GBK" w:hAnsi="Arial" w:eastAsia="方正仿宋_GBK" w:cs="Arial"/>
                <w:sz w:val="28"/>
                <w:szCs w:val="28"/>
                <w:vertAlign w:val="baseline"/>
                <w:lang w:val="en-US" w:eastAsia="zh-CN"/>
              </w:rPr>
              <w:t>孟照辉</w:t>
            </w:r>
          </w:p>
        </w:tc>
        <w:tc>
          <w:tcPr>
            <w:tcW w:w="2724" w:type="pct"/>
            <w:vAlign w:val="center"/>
          </w:tcPr>
          <w:p w14:paraId="4D579303">
            <w:pPr>
              <w:widowControl w:val="0"/>
              <w:spacing w:line="240" w:lineRule="auto"/>
              <w:jc w:val="left"/>
              <w:rPr>
                <w:rFonts w:hint="eastAsia" w:ascii="方正仿宋_GBK" w:eastAsia="方正仿宋_GBK"/>
                <w:sz w:val="28"/>
                <w:szCs w:val="28"/>
                <w:vertAlign w:val="baseline"/>
                <w:lang w:val="en-US" w:eastAsia="zh-CN"/>
              </w:rPr>
            </w:pPr>
            <w:r>
              <w:rPr>
                <w:rFonts w:hint="eastAsia" w:ascii="仿宋_GB2312" w:eastAsia="仿宋_GB2312"/>
                <w:sz w:val="28"/>
                <w:szCs w:val="28"/>
              </w:rPr>
              <w:t>昆医附一院心内一科</w:t>
            </w:r>
            <w:r>
              <w:rPr>
                <w:rFonts w:hint="eastAsia" w:ascii="方正仿宋_GBK" w:eastAsia="方正仿宋_GBK"/>
                <w:sz w:val="28"/>
                <w:szCs w:val="28"/>
                <w:vertAlign w:val="baseline"/>
                <w:lang w:val="en-US" w:eastAsia="zh-CN"/>
              </w:rPr>
              <w:t>主任医师</w:t>
            </w:r>
          </w:p>
        </w:tc>
        <w:tc>
          <w:tcPr>
            <w:tcW w:w="753" w:type="pct"/>
            <w:vMerge w:val="restart"/>
            <w:vAlign w:val="center"/>
          </w:tcPr>
          <w:p w14:paraId="444E8EAE">
            <w:pPr>
              <w:widowControl w:val="0"/>
              <w:spacing w:line="240" w:lineRule="auto"/>
              <w:jc w:val="center"/>
              <w:rPr>
                <w:rFonts w:hint="default" w:ascii="仿宋_GB2312" w:eastAsia="仿宋_GB2312"/>
                <w:sz w:val="28"/>
                <w:szCs w:val="28"/>
                <w:lang w:val="en-US" w:eastAsia="zh-CN"/>
              </w:rPr>
            </w:pPr>
            <w:r>
              <w:rPr>
                <w:rFonts w:hint="eastAsia" w:ascii="仿宋_GB2312" w:eastAsia="仿宋_GB2312"/>
                <w:sz w:val="28"/>
                <w:szCs w:val="28"/>
              </w:rPr>
              <w:t>负责项目实施的技术指导和质控工作，</w:t>
            </w:r>
            <w:r>
              <w:rPr>
                <w:rFonts w:hint="eastAsia" w:ascii="仿宋_GB2312" w:eastAsia="仿宋_GB2312"/>
                <w:sz w:val="28"/>
                <w:szCs w:val="28"/>
                <w:lang w:val="en-US" w:eastAsia="zh-CN"/>
              </w:rPr>
              <w:t>深度挖掘分析数据，开展效果评价。</w:t>
            </w:r>
          </w:p>
          <w:p w14:paraId="0BC95B64">
            <w:pPr>
              <w:widowControl w:val="0"/>
              <w:spacing w:line="240" w:lineRule="auto"/>
              <w:ind w:firstLine="1680" w:firstLineChars="600"/>
              <w:jc w:val="center"/>
              <w:rPr>
                <w:rFonts w:hint="eastAsia" w:ascii="方正仿宋_GBK" w:eastAsia="方正仿宋_GBK"/>
                <w:sz w:val="28"/>
                <w:szCs w:val="28"/>
                <w:vertAlign w:val="baseline"/>
                <w:lang w:val="en-US" w:eastAsia="zh-CN"/>
              </w:rPr>
            </w:pPr>
          </w:p>
        </w:tc>
      </w:tr>
      <w:tr w14:paraId="7D60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806" w:type="pct"/>
            <w:vMerge w:val="restart"/>
            <w:vAlign w:val="center"/>
          </w:tcPr>
          <w:p w14:paraId="0D8A217E">
            <w:pPr>
              <w:widowControl w:val="0"/>
              <w:spacing w:line="240" w:lineRule="auto"/>
              <w:jc w:val="center"/>
              <w:rPr>
                <w:rFonts w:hint="default" w:ascii="方正仿宋_GBK" w:eastAsia="方正仿宋_GBK"/>
                <w:sz w:val="28"/>
                <w:szCs w:val="28"/>
                <w:vertAlign w:val="baseline"/>
                <w:lang w:val="en-US" w:eastAsia="zh-CN"/>
              </w:rPr>
            </w:pPr>
            <w:r>
              <w:rPr>
                <w:rFonts w:hint="eastAsia" w:ascii="方正仿宋_GBK" w:eastAsia="方正仿宋_GBK"/>
                <w:sz w:val="28"/>
                <w:szCs w:val="28"/>
                <w:vertAlign w:val="baseline"/>
                <w:lang w:val="en-US" w:eastAsia="zh-CN"/>
              </w:rPr>
              <w:t>副组长</w:t>
            </w:r>
          </w:p>
        </w:tc>
        <w:tc>
          <w:tcPr>
            <w:tcW w:w="714" w:type="pct"/>
            <w:vAlign w:val="center"/>
          </w:tcPr>
          <w:p w14:paraId="2066AE51">
            <w:pPr>
              <w:widowControl w:val="0"/>
              <w:spacing w:line="240" w:lineRule="auto"/>
              <w:jc w:val="center"/>
              <w:rPr>
                <w:rFonts w:hint="default" w:ascii="方正仿宋_GBK" w:eastAsia="方正仿宋_GBK"/>
                <w:sz w:val="28"/>
                <w:szCs w:val="28"/>
                <w:vertAlign w:val="baseline"/>
                <w:lang w:val="en-US" w:eastAsia="zh-CN"/>
              </w:rPr>
            </w:pPr>
            <w:r>
              <w:rPr>
                <w:rFonts w:hint="default" w:ascii="方正仿宋_GBK" w:eastAsia="方正仿宋_GBK"/>
                <w:sz w:val="28"/>
                <w:szCs w:val="28"/>
                <w:vertAlign w:val="baseline"/>
                <w:lang w:val="en-US" w:eastAsia="zh-CN"/>
              </w:rPr>
              <w:t>黄继东</w:t>
            </w:r>
          </w:p>
        </w:tc>
        <w:tc>
          <w:tcPr>
            <w:tcW w:w="2724" w:type="pct"/>
            <w:vAlign w:val="center"/>
          </w:tcPr>
          <w:p w14:paraId="35C98F77">
            <w:pPr>
              <w:widowControl w:val="0"/>
              <w:spacing w:line="240" w:lineRule="auto"/>
              <w:jc w:val="left"/>
              <w:rPr>
                <w:rFonts w:hint="default" w:ascii="方正仿宋_GBK" w:eastAsia="方正仿宋_GBK"/>
                <w:sz w:val="28"/>
                <w:szCs w:val="28"/>
                <w:vertAlign w:val="baseline"/>
                <w:lang w:val="en-US" w:eastAsia="zh-CN"/>
              </w:rPr>
            </w:pPr>
            <w:r>
              <w:rPr>
                <w:rFonts w:hint="default" w:ascii="方正仿宋_GBK" w:eastAsia="方正仿宋_GBK"/>
                <w:sz w:val="28"/>
                <w:szCs w:val="28"/>
                <w:vertAlign w:val="baseline"/>
                <w:lang w:val="en-US" w:eastAsia="zh-CN"/>
              </w:rPr>
              <w:t>云南大学东陆特聘教授</w:t>
            </w:r>
          </w:p>
        </w:tc>
        <w:tc>
          <w:tcPr>
            <w:tcW w:w="753" w:type="pct"/>
            <w:vMerge w:val="continue"/>
            <w:vAlign w:val="center"/>
          </w:tcPr>
          <w:p w14:paraId="1C3EAA1B">
            <w:pPr>
              <w:widowControl w:val="0"/>
              <w:spacing w:line="240" w:lineRule="auto"/>
              <w:jc w:val="center"/>
              <w:rPr>
                <w:rFonts w:hint="eastAsia" w:ascii="方正仿宋_GBK" w:eastAsia="方正仿宋_GBK"/>
                <w:sz w:val="28"/>
                <w:szCs w:val="28"/>
                <w:vertAlign w:val="baseline"/>
                <w:lang w:val="en-US" w:eastAsia="zh-CN"/>
              </w:rPr>
            </w:pPr>
          </w:p>
        </w:tc>
      </w:tr>
      <w:tr w14:paraId="6D20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trPr>
        <w:tc>
          <w:tcPr>
            <w:tcW w:w="806" w:type="pct"/>
            <w:vMerge w:val="continue"/>
            <w:vAlign w:val="center"/>
          </w:tcPr>
          <w:p w14:paraId="7061A641">
            <w:pPr>
              <w:widowControl w:val="0"/>
              <w:spacing w:line="240" w:lineRule="auto"/>
              <w:jc w:val="center"/>
              <w:rPr>
                <w:rFonts w:hint="eastAsia" w:ascii="方正仿宋_GBK" w:eastAsia="方正仿宋_GBK"/>
                <w:sz w:val="28"/>
                <w:szCs w:val="28"/>
                <w:vertAlign w:val="baseline"/>
                <w:lang w:val="en-US" w:eastAsia="zh-CN"/>
              </w:rPr>
            </w:pPr>
          </w:p>
        </w:tc>
        <w:tc>
          <w:tcPr>
            <w:tcW w:w="714" w:type="pct"/>
            <w:shd w:val="clear" w:color="auto" w:fill="auto"/>
            <w:vAlign w:val="center"/>
          </w:tcPr>
          <w:p w14:paraId="2E51B31E">
            <w:pPr>
              <w:widowControl w:val="0"/>
              <w:spacing w:line="240" w:lineRule="auto"/>
              <w:jc w:val="center"/>
              <w:rPr>
                <w:rFonts w:hint="eastAsia" w:ascii="方正仿宋_GBK" w:hAnsi="Arial" w:eastAsia="方正仿宋_GBK" w:cs="Arial"/>
                <w:snapToGrid w:val="0"/>
                <w:color w:val="000000"/>
                <w:sz w:val="28"/>
                <w:szCs w:val="28"/>
                <w:vertAlign w:val="baseline"/>
                <w:lang w:val="en-US" w:eastAsia="zh-CN" w:bidi="ar-SA"/>
              </w:rPr>
            </w:pPr>
            <w:r>
              <w:rPr>
                <w:rFonts w:hint="eastAsia" w:ascii="方正仿宋_GBK" w:eastAsia="方正仿宋_GBK"/>
                <w:sz w:val="28"/>
                <w:szCs w:val="28"/>
                <w:vertAlign w:val="baseline"/>
                <w:lang w:val="en-US" w:eastAsia="zh-CN"/>
              </w:rPr>
              <w:t>杨沧江</w:t>
            </w:r>
          </w:p>
        </w:tc>
        <w:tc>
          <w:tcPr>
            <w:tcW w:w="2724" w:type="pct"/>
            <w:shd w:val="clear" w:color="auto" w:fill="auto"/>
            <w:vAlign w:val="center"/>
          </w:tcPr>
          <w:p w14:paraId="292CA0CE">
            <w:pPr>
              <w:widowControl w:val="0"/>
              <w:spacing w:line="240" w:lineRule="auto"/>
              <w:jc w:val="left"/>
              <w:rPr>
                <w:rFonts w:hint="eastAsia" w:ascii="方正仿宋_GBK" w:hAnsi="Arial" w:eastAsia="方正仿宋_GBK" w:cs="Arial"/>
                <w:snapToGrid w:val="0"/>
                <w:color w:val="000000"/>
                <w:sz w:val="28"/>
                <w:szCs w:val="28"/>
                <w:vertAlign w:val="baseline"/>
                <w:lang w:val="en-US" w:eastAsia="zh-CN" w:bidi="ar-SA"/>
              </w:rPr>
            </w:pPr>
            <w:r>
              <w:rPr>
                <w:rFonts w:hint="eastAsia" w:ascii="方正仿宋_GBK" w:eastAsia="方正仿宋_GBK"/>
                <w:sz w:val="28"/>
                <w:szCs w:val="28"/>
                <w:vertAlign w:val="baseline"/>
                <w:lang w:val="en-US" w:eastAsia="zh-CN"/>
              </w:rPr>
              <w:t>云南省疾控中心慢病所</w:t>
            </w:r>
            <w:r>
              <w:rPr>
                <w:rFonts w:hint="eastAsia" w:ascii="仿宋_GB2312" w:eastAsia="仿宋_GB2312"/>
                <w:sz w:val="28"/>
                <w:szCs w:val="28"/>
              </w:rPr>
              <w:t>主任医师</w:t>
            </w:r>
            <w:bookmarkStart w:id="3" w:name="_GoBack"/>
            <w:bookmarkEnd w:id="3"/>
          </w:p>
        </w:tc>
        <w:tc>
          <w:tcPr>
            <w:tcW w:w="753" w:type="pct"/>
            <w:vMerge w:val="continue"/>
            <w:vAlign w:val="center"/>
          </w:tcPr>
          <w:p w14:paraId="3421D72C">
            <w:pPr>
              <w:widowControl w:val="0"/>
              <w:spacing w:line="240" w:lineRule="auto"/>
              <w:jc w:val="center"/>
              <w:rPr>
                <w:rFonts w:hint="eastAsia" w:ascii="方正仿宋_GBK" w:eastAsia="方正仿宋_GBK"/>
                <w:sz w:val="28"/>
                <w:szCs w:val="28"/>
                <w:vertAlign w:val="baseline"/>
                <w:lang w:val="en-US" w:eastAsia="zh-CN"/>
              </w:rPr>
            </w:pPr>
          </w:p>
        </w:tc>
      </w:tr>
      <w:tr w14:paraId="604F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806" w:type="pct"/>
            <w:vMerge w:val="restart"/>
            <w:vAlign w:val="center"/>
          </w:tcPr>
          <w:p w14:paraId="12AA0E7F">
            <w:pPr>
              <w:widowControl w:val="0"/>
              <w:spacing w:line="240" w:lineRule="auto"/>
              <w:jc w:val="center"/>
              <w:rPr>
                <w:rFonts w:hint="default" w:ascii="方正仿宋_GBK" w:eastAsia="方正仿宋_GBK"/>
                <w:sz w:val="28"/>
                <w:szCs w:val="28"/>
                <w:vertAlign w:val="baseline"/>
                <w:lang w:val="en-US" w:eastAsia="zh-CN"/>
              </w:rPr>
            </w:pPr>
            <w:r>
              <w:rPr>
                <w:rFonts w:hint="eastAsia" w:ascii="方正仿宋_GBK" w:eastAsia="方正仿宋_GBK"/>
                <w:sz w:val="28"/>
                <w:szCs w:val="28"/>
                <w:vertAlign w:val="baseline"/>
                <w:lang w:val="en-US" w:eastAsia="zh-CN"/>
              </w:rPr>
              <w:t>成 员</w:t>
            </w:r>
          </w:p>
        </w:tc>
        <w:tc>
          <w:tcPr>
            <w:tcW w:w="714" w:type="pct"/>
            <w:vAlign w:val="center"/>
          </w:tcPr>
          <w:p w14:paraId="32C0DEB3">
            <w:pPr>
              <w:widowControl w:val="0"/>
              <w:spacing w:line="240" w:lineRule="auto"/>
              <w:jc w:val="center"/>
              <w:rPr>
                <w:rFonts w:hint="eastAsia" w:ascii="方正仿宋_GBK" w:eastAsia="方正仿宋_GBK"/>
                <w:sz w:val="28"/>
                <w:szCs w:val="28"/>
                <w:vertAlign w:val="baseline"/>
                <w:lang w:val="en-US" w:eastAsia="zh-CN"/>
              </w:rPr>
            </w:pPr>
            <w:r>
              <w:rPr>
                <w:rFonts w:hint="eastAsia" w:ascii="仿宋_GB2312" w:eastAsia="仿宋_GB2312"/>
                <w:sz w:val="28"/>
                <w:szCs w:val="28"/>
              </w:rPr>
              <w:t>汪</w:t>
            </w:r>
            <w:r>
              <w:rPr>
                <w:rFonts w:hint="eastAsia" w:ascii="仿宋_GB2312" w:eastAsia="仿宋_GB2312"/>
                <w:sz w:val="28"/>
                <w:szCs w:val="28"/>
                <w:lang w:val="en-US" w:eastAsia="zh-CN"/>
              </w:rPr>
              <w:t xml:space="preserve">  </w:t>
            </w:r>
            <w:r>
              <w:rPr>
                <w:rFonts w:hint="eastAsia" w:ascii="仿宋_GB2312" w:eastAsia="仿宋_GB2312"/>
                <w:sz w:val="28"/>
                <w:szCs w:val="28"/>
              </w:rPr>
              <w:t>艳</w:t>
            </w:r>
          </w:p>
        </w:tc>
        <w:tc>
          <w:tcPr>
            <w:tcW w:w="2724" w:type="pct"/>
            <w:vAlign w:val="center"/>
          </w:tcPr>
          <w:p w14:paraId="65868A9C">
            <w:pPr>
              <w:widowControl w:val="0"/>
              <w:spacing w:line="240" w:lineRule="auto"/>
              <w:jc w:val="both"/>
              <w:rPr>
                <w:rFonts w:hint="eastAsia" w:ascii="仿宋_GB2312" w:eastAsia="仿宋_GB2312"/>
                <w:sz w:val="28"/>
                <w:szCs w:val="28"/>
              </w:rPr>
            </w:pPr>
            <w:r>
              <w:rPr>
                <w:rFonts w:hint="eastAsia" w:ascii="仿宋_GB2312" w:eastAsia="仿宋_GB2312"/>
                <w:sz w:val="28"/>
                <w:szCs w:val="28"/>
              </w:rPr>
              <w:t>昆医附一院心内一科副主任医师</w:t>
            </w:r>
          </w:p>
        </w:tc>
        <w:tc>
          <w:tcPr>
            <w:tcW w:w="753" w:type="pct"/>
            <w:vMerge w:val="continue"/>
            <w:vAlign w:val="center"/>
          </w:tcPr>
          <w:p w14:paraId="248E1AEE">
            <w:pPr>
              <w:widowControl w:val="0"/>
              <w:spacing w:line="240" w:lineRule="auto"/>
              <w:ind w:firstLine="1680" w:firstLineChars="600"/>
              <w:jc w:val="center"/>
              <w:rPr>
                <w:rFonts w:hint="eastAsia" w:ascii="方正仿宋_GBK" w:eastAsia="方正仿宋_GBK"/>
                <w:sz w:val="28"/>
                <w:szCs w:val="28"/>
                <w:vertAlign w:val="baseline"/>
                <w:lang w:val="en-US" w:eastAsia="zh-CN"/>
              </w:rPr>
            </w:pPr>
          </w:p>
        </w:tc>
      </w:tr>
      <w:tr w14:paraId="4CC3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806" w:type="pct"/>
            <w:vMerge w:val="continue"/>
            <w:vAlign w:val="center"/>
          </w:tcPr>
          <w:p w14:paraId="163368D2">
            <w:pPr>
              <w:widowControl w:val="0"/>
              <w:spacing w:line="240" w:lineRule="auto"/>
              <w:jc w:val="center"/>
              <w:rPr>
                <w:rFonts w:hint="eastAsia" w:ascii="方正仿宋_GBK" w:eastAsia="方正仿宋_GBK"/>
                <w:sz w:val="28"/>
                <w:szCs w:val="28"/>
                <w:vertAlign w:val="baseline"/>
                <w:lang w:val="en-US" w:eastAsia="zh-CN"/>
              </w:rPr>
            </w:pPr>
          </w:p>
        </w:tc>
        <w:tc>
          <w:tcPr>
            <w:tcW w:w="714" w:type="pct"/>
            <w:vAlign w:val="top"/>
          </w:tcPr>
          <w:p w14:paraId="14C5F9FF">
            <w:pPr>
              <w:widowControl w:val="0"/>
              <w:spacing w:line="240" w:lineRule="auto"/>
              <w:jc w:val="center"/>
              <w:rPr>
                <w:rFonts w:hint="eastAsia" w:ascii="方正仿宋_GBK" w:hAnsi="Arial" w:eastAsia="方正仿宋_GBK" w:cs="Arial"/>
                <w:sz w:val="28"/>
                <w:szCs w:val="28"/>
                <w:vertAlign w:val="baseline"/>
                <w:lang w:val="en-US" w:eastAsia="zh-CN"/>
              </w:rPr>
            </w:pPr>
            <w:r>
              <w:rPr>
                <w:rFonts w:hint="eastAsia" w:ascii="方正仿宋_GBK" w:hAnsi="Arial" w:eastAsia="方正仿宋_GBK" w:cs="Arial"/>
                <w:sz w:val="28"/>
                <w:szCs w:val="28"/>
                <w:vertAlign w:val="baseline"/>
                <w:lang w:val="en-US" w:eastAsia="zh-CN"/>
              </w:rPr>
              <w:t>刘艳青</w:t>
            </w:r>
          </w:p>
        </w:tc>
        <w:tc>
          <w:tcPr>
            <w:tcW w:w="2724" w:type="pct"/>
            <w:vAlign w:val="center"/>
          </w:tcPr>
          <w:p w14:paraId="771000CC">
            <w:pPr>
              <w:widowControl w:val="0"/>
              <w:spacing w:line="240" w:lineRule="auto"/>
              <w:jc w:val="left"/>
              <w:rPr>
                <w:rFonts w:hint="eastAsia" w:ascii="方正仿宋_GBK" w:hAnsi="Arial" w:eastAsia="方正仿宋_GBK" w:cs="Arial"/>
                <w:sz w:val="28"/>
                <w:szCs w:val="28"/>
                <w:vertAlign w:val="baseline"/>
                <w:lang w:val="en-US" w:eastAsia="zh-CN"/>
              </w:rPr>
            </w:pPr>
            <w:r>
              <w:rPr>
                <w:rFonts w:hint="eastAsia" w:ascii="方正仿宋_GBK" w:hAnsi="Arial" w:eastAsia="方正仿宋_GBK" w:cs="Arial"/>
                <w:sz w:val="28"/>
                <w:szCs w:val="28"/>
                <w:vertAlign w:val="baseline"/>
                <w:lang w:val="en-US" w:eastAsia="zh-CN"/>
              </w:rPr>
              <w:t>昆医附一院心内三科主治医师</w:t>
            </w:r>
          </w:p>
        </w:tc>
        <w:tc>
          <w:tcPr>
            <w:tcW w:w="753" w:type="pct"/>
            <w:vMerge w:val="continue"/>
            <w:vAlign w:val="center"/>
          </w:tcPr>
          <w:p w14:paraId="6F77925C">
            <w:pPr>
              <w:widowControl w:val="0"/>
              <w:spacing w:line="240" w:lineRule="auto"/>
              <w:ind w:firstLine="1680" w:firstLineChars="600"/>
              <w:jc w:val="center"/>
              <w:rPr>
                <w:rFonts w:hint="eastAsia" w:ascii="方正仿宋_GBK" w:eastAsia="方正仿宋_GBK"/>
                <w:sz w:val="28"/>
                <w:szCs w:val="28"/>
                <w:vertAlign w:val="baseline"/>
                <w:lang w:val="en-US" w:eastAsia="zh-CN"/>
              </w:rPr>
            </w:pPr>
          </w:p>
        </w:tc>
      </w:tr>
      <w:tr w14:paraId="5188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trPr>
        <w:tc>
          <w:tcPr>
            <w:tcW w:w="806" w:type="pct"/>
            <w:vMerge w:val="continue"/>
            <w:vAlign w:val="center"/>
          </w:tcPr>
          <w:p w14:paraId="257657AE">
            <w:pPr>
              <w:widowControl w:val="0"/>
              <w:spacing w:line="240" w:lineRule="auto"/>
              <w:jc w:val="center"/>
              <w:rPr>
                <w:rFonts w:hint="eastAsia" w:ascii="方正仿宋_GBK" w:eastAsia="方正仿宋_GBK"/>
                <w:sz w:val="28"/>
                <w:szCs w:val="28"/>
                <w:vertAlign w:val="baseline"/>
                <w:lang w:val="en-US" w:eastAsia="zh-CN"/>
              </w:rPr>
            </w:pPr>
          </w:p>
        </w:tc>
        <w:tc>
          <w:tcPr>
            <w:tcW w:w="714" w:type="pct"/>
            <w:vAlign w:val="center"/>
          </w:tcPr>
          <w:p w14:paraId="7C7CF575">
            <w:pPr>
              <w:widowControl w:val="0"/>
              <w:spacing w:line="240" w:lineRule="auto"/>
              <w:jc w:val="center"/>
              <w:rPr>
                <w:rFonts w:hint="eastAsia" w:ascii="方正仿宋_GBK" w:hAnsi="Arial" w:eastAsia="方正仿宋_GBK" w:cs="Arial"/>
                <w:sz w:val="28"/>
                <w:szCs w:val="28"/>
                <w:vertAlign w:val="baseline"/>
                <w:lang w:val="en-US" w:eastAsia="zh-CN"/>
              </w:rPr>
            </w:pPr>
            <w:r>
              <w:rPr>
                <w:rFonts w:hint="eastAsia" w:ascii="方正仿宋_GBK" w:hAnsi="Arial" w:eastAsia="方正仿宋_GBK" w:cs="Arial"/>
                <w:sz w:val="28"/>
                <w:szCs w:val="28"/>
                <w:vertAlign w:val="baseline"/>
                <w:lang w:val="en-US" w:eastAsia="zh-CN"/>
              </w:rPr>
              <w:t>唐仕颖</w:t>
            </w:r>
          </w:p>
        </w:tc>
        <w:tc>
          <w:tcPr>
            <w:tcW w:w="2724" w:type="pct"/>
            <w:vAlign w:val="center"/>
          </w:tcPr>
          <w:p w14:paraId="06BC3346">
            <w:pPr>
              <w:widowControl w:val="0"/>
              <w:spacing w:line="240" w:lineRule="auto"/>
              <w:jc w:val="both"/>
              <w:rPr>
                <w:rFonts w:hint="eastAsia" w:ascii="方正仿宋_GBK" w:hAnsi="Arial" w:eastAsia="方正仿宋_GBK" w:cs="Arial"/>
                <w:sz w:val="28"/>
                <w:szCs w:val="28"/>
                <w:vertAlign w:val="baseline"/>
                <w:lang w:val="en-US" w:eastAsia="zh-CN"/>
              </w:rPr>
            </w:pPr>
            <w:r>
              <w:rPr>
                <w:rFonts w:hint="eastAsia" w:ascii="方正仿宋_GBK" w:hAnsi="Arial" w:eastAsia="方正仿宋_GBK" w:cs="Arial"/>
                <w:sz w:val="28"/>
                <w:szCs w:val="28"/>
                <w:vertAlign w:val="baseline"/>
                <w:lang w:val="en-US" w:eastAsia="zh-CN"/>
              </w:rPr>
              <w:t>昆医附一院超声科主治医师</w:t>
            </w:r>
          </w:p>
        </w:tc>
        <w:tc>
          <w:tcPr>
            <w:tcW w:w="753" w:type="pct"/>
            <w:vMerge w:val="continue"/>
            <w:vAlign w:val="center"/>
          </w:tcPr>
          <w:p w14:paraId="608F2966">
            <w:pPr>
              <w:widowControl w:val="0"/>
              <w:spacing w:line="240" w:lineRule="auto"/>
              <w:ind w:firstLine="1680" w:firstLineChars="600"/>
              <w:jc w:val="center"/>
              <w:rPr>
                <w:rFonts w:hint="eastAsia" w:ascii="方正仿宋_GBK" w:eastAsia="方正仿宋_GBK"/>
                <w:sz w:val="28"/>
                <w:szCs w:val="28"/>
                <w:vertAlign w:val="baseline"/>
                <w:lang w:val="en-US" w:eastAsia="zh-CN"/>
              </w:rPr>
            </w:pPr>
          </w:p>
        </w:tc>
      </w:tr>
    </w:tbl>
    <w:p w14:paraId="2CFD853F">
      <w:pPr>
        <w:spacing w:line="360" w:lineRule="auto"/>
        <w:rPr>
          <w:rFonts w:ascii="方正仿宋_GBK" w:eastAsia="方正仿宋_GBK"/>
          <w:sz w:val="32"/>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5C8233F-D9B8-414D-9541-E96059A347C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54470A81-6B23-4501-8BB7-EA962B006BD1}"/>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embedRegular r:id="rId3" w:fontKey="{33EB3D99-3B48-4025-A576-EB4FC1FF90CE}"/>
  </w:font>
  <w:font w:name="方正仿宋_GBK">
    <w:panose1 w:val="03000509000000000000"/>
    <w:charset w:val="86"/>
    <w:family w:val="script"/>
    <w:pitch w:val="default"/>
    <w:sig w:usb0="00000001" w:usb1="080E0000" w:usb2="00000000" w:usb3="00000000" w:csb0="00040000" w:csb1="00000000"/>
    <w:embedRegular r:id="rId4" w:fontKey="{CCF67AD4-8D1F-4BC7-96A6-41E02603899C}"/>
  </w:font>
  <w:font w:name="方正小标宋_GBK">
    <w:panose1 w:val="02000000000000000000"/>
    <w:charset w:val="86"/>
    <w:family w:val="script"/>
    <w:pitch w:val="default"/>
    <w:sig w:usb0="00000001" w:usb1="080E0000" w:usb2="00000000" w:usb3="00000000" w:csb0="00040000" w:csb1="00000000"/>
    <w:embedRegular r:id="rId5" w:fontKey="{FC293EA3-7AE7-4196-A8C8-F3C89875452E}"/>
  </w:font>
  <w:font w:name="方正黑体_GBK">
    <w:panose1 w:val="03000509000000000000"/>
    <w:charset w:val="86"/>
    <w:family w:val="script"/>
    <w:pitch w:val="default"/>
    <w:sig w:usb0="00000001" w:usb1="080E0000" w:usb2="00000000" w:usb3="00000000" w:csb0="00040000" w:csb1="00000000"/>
    <w:embedRegular r:id="rId6" w:fontKey="{6200C3FE-4C7E-4FC9-A670-EA311835EC75}"/>
  </w:font>
  <w:font w:name="方正楷体_GBK">
    <w:panose1 w:val="03000509000000000000"/>
    <w:charset w:val="86"/>
    <w:family w:val="script"/>
    <w:pitch w:val="default"/>
    <w:sig w:usb0="00000001" w:usb1="080E0000" w:usb2="00000000" w:usb3="00000000" w:csb0="00040000" w:csb1="00000000"/>
    <w:embedRegular r:id="rId7" w:fontKey="{D9F7B131-4092-4E4A-8A37-BD03B4372310}"/>
  </w:font>
  <w:font w:name="等线">
    <w:panose1 w:val="02010600030101010101"/>
    <w:charset w:val="86"/>
    <w:family w:val="auto"/>
    <w:pitch w:val="default"/>
    <w:sig w:usb0="A00002BF" w:usb1="38CF7CFA" w:usb2="00000016" w:usb3="00000000" w:csb0="0004000F" w:csb1="00000000"/>
    <w:embedRegular r:id="rId8" w:fontKey="{77D7EB97-5C0F-4341-9AB2-3DFE2A9AA48B}"/>
  </w:font>
  <w:font w:name="WPSEMBED1">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FlZmI2OGUxNjBlNmU1YjMzYTIxOTVkYWE3NWExODcifQ=="/>
    <w:docVar w:name="KSO_WPS_MARK_KEY" w:val="300c2dc3-9703-4ccb-9892-f89b0897f242"/>
  </w:docVars>
  <w:rsids>
    <w:rsidRoot w:val="00CE5844"/>
    <w:rsid w:val="00001ADA"/>
    <w:rsid w:val="000A2A46"/>
    <w:rsid w:val="000B23AB"/>
    <w:rsid w:val="000C1A14"/>
    <w:rsid w:val="000F7E7F"/>
    <w:rsid w:val="001143AD"/>
    <w:rsid w:val="00120D55"/>
    <w:rsid w:val="00125C7F"/>
    <w:rsid w:val="00140D20"/>
    <w:rsid w:val="00165E57"/>
    <w:rsid w:val="001A18CA"/>
    <w:rsid w:val="001E44FA"/>
    <w:rsid w:val="001E567A"/>
    <w:rsid w:val="0021535C"/>
    <w:rsid w:val="00245FEF"/>
    <w:rsid w:val="00257600"/>
    <w:rsid w:val="00270BC7"/>
    <w:rsid w:val="00271A15"/>
    <w:rsid w:val="002A580B"/>
    <w:rsid w:val="002F2811"/>
    <w:rsid w:val="002F4D02"/>
    <w:rsid w:val="003118E9"/>
    <w:rsid w:val="00384D9C"/>
    <w:rsid w:val="003B725C"/>
    <w:rsid w:val="00423B02"/>
    <w:rsid w:val="00447B4A"/>
    <w:rsid w:val="00451E9D"/>
    <w:rsid w:val="00482ECE"/>
    <w:rsid w:val="004939D5"/>
    <w:rsid w:val="004B608C"/>
    <w:rsid w:val="004F1A64"/>
    <w:rsid w:val="00510064"/>
    <w:rsid w:val="00526515"/>
    <w:rsid w:val="005375DA"/>
    <w:rsid w:val="005413B4"/>
    <w:rsid w:val="0056280E"/>
    <w:rsid w:val="00571C99"/>
    <w:rsid w:val="005B5AF5"/>
    <w:rsid w:val="005B6900"/>
    <w:rsid w:val="005F5724"/>
    <w:rsid w:val="00602A2F"/>
    <w:rsid w:val="00612653"/>
    <w:rsid w:val="0061290A"/>
    <w:rsid w:val="00617161"/>
    <w:rsid w:val="006206F4"/>
    <w:rsid w:val="00631568"/>
    <w:rsid w:val="00663BAD"/>
    <w:rsid w:val="006E1BC4"/>
    <w:rsid w:val="006F3C1B"/>
    <w:rsid w:val="00710F7D"/>
    <w:rsid w:val="00731F64"/>
    <w:rsid w:val="00735525"/>
    <w:rsid w:val="00766A52"/>
    <w:rsid w:val="007D5378"/>
    <w:rsid w:val="008654CF"/>
    <w:rsid w:val="00893B65"/>
    <w:rsid w:val="008E09C9"/>
    <w:rsid w:val="008F3418"/>
    <w:rsid w:val="009152C5"/>
    <w:rsid w:val="00977797"/>
    <w:rsid w:val="00991CA1"/>
    <w:rsid w:val="009937F3"/>
    <w:rsid w:val="009D0A6F"/>
    <w:rsid w:val="009E15DA"/>
    <w:rsid w:val="009F206D"/>
    <w:rsid w:val="00B12F69"/>
    <w:rsid w:val="00B404C6"/>
    <w:rsid w:val="00B4518E"/>
    <w:rsid w:val="00B54762"/>
    <w:rsid w:val="00B80A58"/>
    <w:rsid w:val="00BA2790"/>
    <w:rsid w:val="00BE3F42"/>
    <w:rsid w:val="00BF1E5F"/>
    <w:rsid w:val="00BF4F7D"/>
    <w:rsid w:val="00C20743"/>
    <w:rsid w:val="00C57DFA"/>
    <w:rsid w:val="00C874AE"/>
    <w:rsid w:val="00C945A0"/>
    <w:rsid w:val="00CA10E0"/>
    <w:rsid w:val="00CE5844"/>
    <w:rsid w:val="00D04A43"/>
    <w:rsid w:val="00D353BB"/>
    <w:rsid w:val="00D40808"/>
    <w:rsid w:val="00D6009C"/>
    <w:rsid w:val="00D753BA"/>
    <w:rsid w:val="00D768F4"/>
    <w:rsid w:val="00D91C30"/>
    <w:rsid w:val="00D9723B"/>
    <w:rsid w:val="00DA4CA1"/>
    <w:rsid w:val="00DC4C78"/>
    <w:rsid w:val="00E11348"/>
    <w:rsid w:val="00E25B63"/>
    <w:rsid w:val="00E856E9"/>
    <w:rsid w:val="00EA5D2F"/>
    <w:rsid w:val="00EC0CD6"/>
    <w:rsid w:val="00F51F26"/>
    <w:rsid w:val="01304A6D"/>
    <w:rsid w:val="01426932"/>
    <w:rsid w:val="02BC5E7C"/>
    <w:rsid w:val="03F60FF6"/>
    <w:rsid w:val="04256902"/>
    <w:rsid w:val="044E2BE0"/>
    <w:rsid w:val="049E532B"/>
    <w:rsid w:val="07EE7C4F"/>
    <w:rsid w:val="093B7E06"/>
    <w:rsid w:val="0DF77E44"/>
    <w:rsid w:val="0E6359D8"/>
    <w:rsid w:val="0ECC6AE2"/>
    <w:rsid w:val="109D794B"/>
    <w:rsid w:val="10BE10ED"/>
    <w:rsid w:val="1134315E"/>
    <w:rsid w:val="11513D10"/>
    <w:rsid w:val="12B24C82"/>
    <w:rsid w:val="135B70C7"/>
    <w:rsid w:val="14C44E68"/>
    <w:rsid w:val="14D46D63"/>
    <w:rsid w:val="177D2056"/>
    <w:rsid w:val="18003D99"/>
    <w:rsid w:val="186B3909"/>
    <w:rsid w:val="197C0CF2"/>
    <w:rsid w:val="1A01758D"/>
    <w:rsid w:val="1A563640"/>
    <w:rsid w:val="1A7D3DC7"/>
    <w:rsid w:val="1AC6751C"/>
    <w:rsid w:val="1C6E5776"/>
    <w:rsid w:val="1D48246B"/>
    <w:rsid w:val="1EDE05F1"/>
    <w:rsid w:val="1EEE0DF0"/>
    <w:rsid w:val="1F38206B"/>
    <w:rsid w:val="1F484DA3"/>
    <w:rsid w:val="209443FF"/>
    <w:rsid w:val="22EC1AEA"/>
    <w:rsid w:val="249A6DF1"/>
    <w:rsid w:val="2517003B"/>
    <w:rsid w:val="2641214D"/>
    <w:rsid w:val="26ED5E31"/>
    <w:rsid w:val="27231678"/>
    <w:rsid w:val="29767018"/>
    <w:rsid w:val="29BF5862"/>
    <w:rsid w:val="29EF2E91"/>
    <w:rsid w:val="2A6A2C93"/>
    <w:rsid w:val="2ACB21DF"/>
    <w:rsid w:val="2ACF7D27"/>
    <w:rsid w:val="2D43338B"/>
    <w:rsid w:val="2D6906A3"/>
    <w:rsid w:val="2D8D5C78"/>
    <w:rsid w:val="2ECD6C74"/>
    <w:rsid w:val="2EF316AB"/>
    <w:rsid w:val="3014442E"/>
    <w:rsid w:val="33F20F2A"/>
    <w:rsid w:val="34106280"/>
    <w:rsid w:val="35763E83"/>
    <w:rsid w:val="35D27D3E"/>
    <w:rsid w:val="397D3044"/>
    <w:rsid w:val="3A3E6C77"/>
    <w:rsid w:val="3A6E34E3"/>
    <w:rsid w:val="3C6A5B02"/>
    <w:rsid w:val="3C793F97"/>
    <w:rsid w:val="3CB52AF5"/>
    <w:rsid w:val="3DC079A3"/>
    <w:rsid w:val="3E0105F0"/>
    <w:rsid w:val="3E204BB6"/>
    <w:rsid w:val="40644F5E"/>
    <w:rsid w:val="40DF6392"/>
    <w:rsid w:val="41B47717"/>
    <w:rsid w:val="41B94E35"/>
    <w:rsid w:val="41B96BE3"/>
    <w:rsid w:val="429D65A5"/>
    <w:rsid w:val="43015A88"/>
    <w:rsid w:val="4629258A"/>
    <w:rsid w:val="473800E3"/>
    <w:rsid w:val="4864578F"/>
    <w:rsid w:val="487815A6"/>
    <w:rsid w:val="48E64762"/>
    <w:rsid w:val="49940662"/>
    <w:rsid w:val="49D26E8C"/>
    <w:rsid w:val="4A372B97"/>
    <w:rsid w:val="4B683B54"/>
    <w:rsid w:val="4BCD10AE"/>
    <w:rsid w:val="4CDC6792"/>
    <w:rsid w:val="4ECD6554"/>
    <w:rsid w:val="5012408F"/>
    <w:rsid w:val="515F1555"/>
    <w:rsid w:val="51BD75E0"/>
    <w:rsid w:val="528A6DCB"/>
    <w:rsid w:val="52DB707F"/>
    <w:rsid w:val="52FB4C31"/>
    <w:rsid w:val="53796FEE"/>
    <w:rsid w:val="53A0797D"/>
    <w:rsid w:val="56861332"/>
    <w:rsid w:val="5B4B48F9"/>
    <w:rsid w:val="5D1C02FB"/>
    <w:rsid w:val="5E136723"/>
    <w:rsid w:val="5E88297C"/>
    <w:rsid w:val="5F7D704B"/>
    <w:rsid w:val="5FCD3B2E"/>
    <w:rsid w:val="607B1ADE"/>
    <w:rsid w:val="60E05AE3"/>
    <w:rsid w:val="6170572F"/>
    <w:rsid w:val="6291178B"/>
    <w:rsid w:val="62F40610"/>
    <w:rsid w:val="635649AD"/>
    <w:rsid w:val="63F26259"/>
    <w:rsid w:val="64370594"/>
    <w:rsid w:val="65CC7A0B"/>
    <w:rsid w:val="66B75538"/>
    <w:rsid w:val="69713A22"/>
    <w:rsid w:val="699257FF"/>
    <w:rsid w:val="69B40769"/>
    <w:rsid w:val="6B244679"/>
    <w:rsid w:val="6B4A697B"/>
    <w:rsid w:val="6B6B07C2"/>
    <w:rsid w:val="6C7C7008"/>
    <w:rsid w:val="6CC462B9"/>
    <w:rsid w:val="6CC904A1"/>
    <w:rsid w:val="6E906D9A"/>
    <w:rsid w:val="6EB362EF"/>
    <w:rsid w:val="704C0A9F"/>
    <w:rsid w:val="71A753E1"/>
    <w:rsid w:val="723B0DCB"/>
    <w:rsid w:val="7295497F"/>
    <w:rsid w:val="72AB5F51"/>
    <w:rsid w:val="72BB1F0C"/>
    <w:rsid w:val="751B4EE4"/>
    <w:rsid w:val="778B6351"/>
    <w:rsid w:val="78654DF4"/>
    <w:rsid w:val="797F2A44"/>
    <w:rsid w:val="7A7E4A10"/>
    <w:rsid w:val="7B0F1047"/>
    <w:rsid w:val="7D06483F"/>
    <w:rsid w:val="7D697134"/>
    <w:rsid w:val="7DA32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paragraph" w:styleId="2">
    <w:name w:val="heading 1"/>
    <w:basedOn w:val="1"/>
    <w:next w:val="1"/>
    <w:link w:val="13"/>
    <w:qFormat/>
    <w:uiPriority w:val="9"/>
    <w:pPr>
      <w:keepNext/>
      <w:keepLines/>
      <w:spacing w:after="120" w:line="360" w:lineRule="auto"/>
      <w:outlineLvl w:val="0"/>
    </w:pPr>
    <w:rPr>
      <w:rFonts w:ascii="Calibri" w:hAnsi="Calibri" w:eastAsia="宋体" w:cs="Times New Roman"/>
      <w:b/>
      <w:bCs/>
      <w:kern w:val="44"/>
      <w:sz w:val="32"/>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unhideWhenUsed/>
    <w:qFormat/>
    <w:uiPriority w:val="99"/>
    <w:pPr>
      <w:widowControl w:val="0"/>
      <w:kinsoku/>
      <w:autoSpaceDE/>
      <w:autoSpaceDN/>
      <w:adjustRightInd/>
      <w:snapToGrid/>
      <w:textAlignment w:val="auto"/>
    </w:pPr>
    <w:rPr>
      <w:rFonts w:ascii="Calibri" w:hAnsi="Calibri" w:eastAsia="宋体" w:cs="Times New Roman"/>
      <w:snapToGrid/>
      <w:color w:val="auto"/>
      <w:kern w:val="2"/>
      <w:szCs w:val="22"/>
      <w:lang w:eastAsia="zh-CN"/>
    </w:rPr>
  </w:style>
  <w:style w:type="paragraph" w:styleId="4">
    <w:name w:val="Body Text"/>
    <w:basedOn w:val="1"/>
    <w:link w:val="14"/>
    <w:semiHidden/>
    <w:qFormat/>
    <w:uiPriority w:val="0"/>
    <w:rPr>
      <w:rFonts w:ascii="仿宋" w:hAnsi="仿宋" w:eastAsia="仿宋" w:cs="仿宋"/>
      <w:sz w:val="32"/>
      <w:szCs w:val="32"/>
    </w:rPr>
  </w:style>
  <w:style w:type="paragraph" w:styleId="5">
    <w:name w:val="Date"/>
    <w:basedOn w:val="1"/>
    <w:next w:val="1"/>
    <w:link w:val="16"/>
    <w:semiHidden/>
    <w:unhideWhenUsed/>
    <w:qFormat/>
    <w:uiPriority w:val="99"/>
    <w:pPr>
      <w:ind w:left="100" w:leftChars="2500"/>
    </w:pPr>
  </w:style>
  <w:style w:type="paragraph" w:styleId="6">
    <w:name w:val="footer"/>
    <w:basedOn w:val="1"/>
    <w:link w:val="21"/>
    <w:unhideWhenUsed/>
    <w:qFormat/>
    <w:uiPriority w:val="99"/>
    <w:pPr>
      <w:tabs>
        <w:tab w:val="center" w:pos="4153"/>
        <w:tab w:val="right" w:pos="8306"/>
      </w:tabs>
    </w:pPr>
    <w:rPr>
      <w:sz w:val="18"/>
      <w:szCs w:val="18"/>
    </w:rPr>
  </w:style>
  <w:style w:type="paragraph" w:styleId="7">
    <w:name w:val="header"/>
    <w:basedOn w:val="1"/>
    <w:link w:val="20"/>
    <w:unhideWhenUsed/>
    <w:qFormat/>
    <w:uiPriority w:val="99"/>
    <w:pPr>
      <w:tabs>
        <w:tab w:val="center" w:pos="4153"/>
        <w:tab w:val="right" w:pos="8306"/>
      </w:tabs>
      <w:jc w:val="center"/>
    </w:pPr>
    <w:rPr>
      <w:sz w:val="18"/>
      <w:szCs w:val="18"/>
    </w:rPr>
  </w:style>
  <w:style w:type="paragraph" w:styleId="8">
    <w:name w:val="annotation subject"/>
    <w:basedOn w:val="3"/>
    <w:next w:val="3"/>
    <w:link w:val="23"/>
    <w:semiHidden/>
    <w:unhideWhenUsed/>
    <w:qFormat/>
    <w:uiPriority w:val="99"/>
    <w:pPr>
      <w:widowControl/>
      <w:kinsoku w:val="0"/>
      <w:autoSpaceDE w:val="0"/>
      <w:autoSpaceDN w:val="0"/>
      <w:adjustRightInd w:val="0"/>
      <w:snapToGrid w:val="0"/>
      <w:textAlignment w:val="baseline"/>
    </w:pPr>
    <w:rPr>
      <w:rFonts w:ascii="Arial" w:hAnsi="Arial" w:cs="Arial" w:eastAsiaTheme="minorEastAsia"/>
      <w:b/>
      <w:bCs/>
      <w:snapToGrid w:val="0"/>
      <w:color w:val="000000"/>
      <w:kern w:val="0"/>
      <w:szCs w:val="21"/>
      <w:lang w:eastAsia="en-US"/>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semiHidden/>
    <w:unhideWhenUsed/>
    <w:qFormat/>
    <w:uiPriority w:val="99"/>
    <w:rPr>
      <w:sz w:val="21"/>
      <w:szCs w:val="21"/>
    </w:rPr>
  </w:style>
  <w:style w:type="character" w:customStyle="1" w:styleId="13">
    <w:name w:val="标题 1 字符"/>
    <w:basedOn w:val="11"/>
    <w:link w:val="2"/>
    <w:qFormat/>
    <w:uiPriority w:val="9"/>
    <w:rPr>
      <w:rFonts w:ascii="Calibri" w:hAnsi="Calibri" w:eastAsia="宋体" w:cs="Times New Roman"/>
      <w:b/>
      <w:bCs/>
      <w:snapToGrid w:val="0"/>
      <w:color w:val="000000"/>
      <w:kern w:val="44"/>
      <w:sz w:val="32"/>
      <w:szCs w:val="44"/>
      <w:lang w:eastAsia="en-US"/>
    </w:rPr>
  </w:style>
  <w:style w:type="character" w:customStyle="1" w:styleId="14">
    <w:name w:val="正文文本 字符"/>
    <w:basedOn w:val="11"/>
    <w:link w:val="4"/>
    <w:semiHidden/>
    <w:qFormat/>
    <w:uiPriority w:val="0"/>
    <w:rPr>
      <w:rFonts w:ascii="仿宋" w:hAnsi="仿宋" w:eastAsia="仿宋" w:cs="仿宋"/>
      <w:snapToGrid w:val="0"/>
      <w:color w:val="000000"/>
      <w:kern w:val="0"/>
      <w:sz w:val="32"/>
      <w:szCs w:val="32"/>
      <w:lang w:eastAsia="en-US"/>
    </w:rPr>
  </w:style>
  <w:style w:type="character" w:customStyle="1" w:styleId="15">
    <w:name w:val="批注文字 字符"/>
    <w:basedOn w:val="11"/>
    <w:link w:val="3"/>
    <w:semiHidden/>
    <w:qFormat/>
    <w:uiPriority w:val="99"/>
    <w:rPr>
      <w:rFonts w:ascii="Calibri" w:hAnsi="Calibri" w:eastAsia="宋体" w:cs="Times New Roman"/>
    </w:rPr>
  </w:style>
  <w:style w:type="character" w:customStyle="1" w:styleId="16">
    <w:name w:val="日期 字符"/>
    <w:basedOn w:val="11"/>
    <w:link w:val="5"/>
    <w:semiHidden/>
    <w:qFormat/>
    <w:uiPriority w:val="99"/>
    <w:rPr>
      <w:rFonts w:ascii="Arial" w:hAnsi="Arial" w:cs="Arial"/>
      <w:snapToGrid w:val="0"/>
      <w:color w:val="000000"/>
      <w:kern w:val="0"/>
      <w:szCs w:val="21"/>
      <w:lang w:eastAsia="en-US"/>
    </w:rPr>
  </w:style>
  <w:style w:type="character" w:customStyle="1" w:styleId="17">
    <w:name w:val="font41"/>
    <w:basedOn w:val="11"/>
    <w:qFormat/>
    <w:uiPriority w:val="0"/>
    <w:rPr>
      <w:rFonts w:hint="eastAsia" w:ascii="宋体" w:hAnsi="宋体" w:eastAsia="宋体" w:cs="宋体"/>
      <w:color w:val="000000"/>
      <w:sz w:val="18"/>
      <w:szCs w:val="18"/>
      <w:u w:val="none"/>
    </w:rPr>
  </w:style>
  <w:style w:type="character" w:customStyle="1" w:styleId="18">
    <w:name w:val="font51"/>
    <w:basedOn w:val="11"/>
    <w:qFormat/>
    <w:uiPriority w:val="0"/>
    <w:rPr>
      <w:rFonts w:hint="default" w:ascii="仿宋_GB2312" w:eastAsia="仿宋_GB2312" w:cs="仿宋_GB2312"/>
      <w:color w:val="000000"/>
      <w:sz w:val="18"/>
      <w:szCs w:val="18"/>
      <w:u w:val="none"/>
    </w:rPr>
  </w:style>
  <w:style w:type="paragraph" w:styleId="19">
    <w:name w:val="List Paragraph"/>
    <w:basedOn w:val="1"/>
    <w:qFormat/>
    <w:uiPriority w:val="34"/>
    <w:pPr>
      <w:ind w:firstLine="420" w:firstLineChars="200"/>
    </w:pPr>
  </w:style>
  <w:style w:type="character" w:customStyle="1" w:styleId="20">
    <w:name w:val="页眉 字符"/>
    <w:basedOn w:val="11"/>
    <w:link w:val="7"/>
    <w:qFormat/>
    <w:uiPriority w:val="99"/>
    <w:rPr>
      <w:rFonts w:ascii="Arial" w:hAnsi="Arial" w:cs="Arial"/>
      <w:snapToGrid w:val="0"/>
      <w:color w:val="000000"/>
      <w:kern w:val="0"/>
      <w:sz w:val="18"/>
      <w:szCs w:val="18"/>
      <w:lang w:eastAsia="en-US"/>
    </w:rPr>
  </w:style>
  <w:style w:type="character" w:customStyle="1" w:styleId="21">
    <w:name w:val="页脚 字符"/>
    <w:basedOn w:val="11"/>
    <w:link w:val="6"/>
    <w:qFormat/>
    <w:uiPriority w:val="99"/>
    <w:rPr>
      <w:rFonts w:ascii="Arial" w:hAnsi="Arial" w:cs="Arial"/>
      <w:snapToGrid w:val="0"/>
      <w:color w:val="000000"/>
      <w:kern w:val="0"/>
      <w:sz w:val="18"/>
      <w:szCs w:val="18"/>
      <w:lang w:eastAsia="en-US"/>
    </w:rPr>
  </w:style>
  <w:style w:type="paragraph" w:customStyle="1" w:styleId="22">
    <w:name w:val="修订1"/>
    <w:hidden/>
    <w:unhideWhenUsed/>
    <w:qFormat/>
    <w:uiPriority w:val="99"/>
    <w:rPr>
      <w:rFonts w:ascii="Arial" w:hAnsi="Arial" w:cs="Arial" w:eastAsiaTheme="minorEastAsia"/>
      <w:snapToGrid w:val="0"/>
      <w:color w:val="000000"/>
      <w:sz w:val="21"/>
      <w:szCs w:val="21"/>
      <w:lang w:val="en-US" w:eastAsia="en-US" w:bidi="ar-SA"/>
    </w:rPr>
  </w:style>
  <w:style w:type="character" w:customStyle="1" w:styleId="23">
    <w:name w:val="批注主题 字符"/>
    <w:basedOn w:val="15"/>
    <w:link w:val="8"/>
    <w:semiHidden/>
    <w:qFormat/>
    <w:uiPriority w:val="99"/>
    <w:rPr>
      <w:rFonts w:ascii="Arial" w:hAnsi="Arial" w:eastAsia="宋体" w:cs="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2982</Words>
  <Characters>3162</Characters>
  <Lines>21</Lines>
  <Paragraphs>5</Paragraphs>
  <TotalTime>0</TotalTime>
  <ScaleCrop>false</ScaleCrop>
  <LinksUpToDate>false</LinksUpToDate>
  <CharactersWithSpaces>3178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2026-04-21T01:00:00Z</dcterms:created>
  <dc:creator>Administrator</dc:creator>
  <cp:lastModifiedBy>石青萍</cp:lastModifiedBy>
  <dcterms:modified xsi:type="dcterms:W3CDTF">2026-06-11T03:08:32Z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F64F812EC5764238AF1558DBA4B6C35C_13</vt:lpwstr>
  </property>
  <property fmtid="{D5CDD505-2E9C-101B-9397-08002B2CF9AE}" pid="4" name="KSOTemplateDocerSaveRecord">
    <vt:lpwstr>eyJoZGlkIjoiMDA2ZjczZTRiNDk5Njg2NjFkMWFlMzBlZGFhMTkyZjYiLCJ1c2VySWQiOiI0Mzc0NDY4ODcifQ==</vt:lpwstr>
  </property>
</Properties>
</file>