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DDE92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ascii="黑体" w:hAnsi="黑体" w:eastAsia="黑体" w:cs="黑体"/>
          <w:spacing w:val="32"/>
          <w:sz w:val="32"/>
          <w:szCs w:val="32"/>
        </w:rPr>
        <w:t>附件</w:t>
      </w:r>
    </w:p>
    <w:p w14:paraId="3C314E5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</w:rPr>
        <w:t>国家慢性病综合防控示范区建设指引</w:t>
      </w:r>
    </w:p>
    <w:p w14:paraId="0348BB3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 w:cs="宋体"/>
          <w:sz w:val="47"/>
          <w:szCs w:val="47"/>
        </w:rPr>
      </w:pPr>
      <w:r>
        <w:rPr>
          <w:rFonts w:hint="default" w:ascii="Times New Roman" w:hAnsi="Times New Roman" w:eastAsia="方正小标宋_GBK" w:cs="Times New Roman"/>
          <w:b w:val="0"/>
          <w:bCs/>
          <w:kern w:val="0"/>
          <w:sz w:val="44"/>
          <w:szCs w:val="44"/>
        </w:rPr>
        <w:t>(2026年版)</w:t>
      </w:r>
    </w:p>
    <w:bookmarkEnd w:id="0"/>
    <w:p w14:paraId="1D0310D6">
      <w:pPr>
        <w:spacing w:before="41"/>
      </w:pPr>
    </w:p>
    <w:p w14:paraId="66DB833A">
      <w:pPr>
        <w:spacing w:before="40"/>
      </w:pPr>
    </w:p>
    <w:tbl>
      <w:tblPr>
        <w:tblStyle w:val="6"/>
        <w:tblW w:w="499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23"/>
        <w:gridCol w:w="11"/>
        <w:gridCol w:w="8"/>
        <w:gridCol w:w="3134"/>
        <w:gridCol w:w="9089"/>
        <w:gridCol w:w="8"/>
        <w:gridCol w:w="9"/>
        <w:gridCol w:w="9"/>
      </w:tblGrid>
      <w:tr w14:paraId="7584B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3"/>
          <w:wAfter w:w="9" w:type="pct"/>
          <w:trHeight w:val="604" w:hRule="atLeast"/>
        </w:trPr>
        <w:tc>
          <w:tcPr>
            <w:tcW w:w="591" w:type="pct"/>
            <w:gridSpan w:val="3"/>
            <w:vAlign w:val="top"/>
          </w:tcPr>
          <w:p w14:paraId="024DDF98">
            <w:pPr>
              <w:pStyle w:val="5"/>
              <w:spacing w:before="181" w:line="219" w:lineRule="auto"/>
              <w:ind w:left="418"/>
              <w:rPr>
                <w:highlight w:val="none"/>
              </w:rPr>
            </w:pPr>
            <w:r>
              <w:rPr>
                <w:b/>
                <w:bCs/>
                <w:spacing w:val="6"/>
                <w:highlight w:val="none"/>
              </w:rPr>
              <w:t>分类指引</w:t>
            </w:r>
          </w:p>
        </w:tc>
        <w:tc>
          <w:tcPr>
            <w:tcW w:w="1128" w:type="pct"/>
            <w:vAlign w:val="top"/>
          </w:tcPr>
          <w:p w14:paraId="2A314AF7">
            <w:pPr>
              <w:pStyle w:val="5"/>
              <w:spacing w:before="181" w:line="219" w:lineRule="auto"/>
              <w:ind w:left="1174"/>
              <w:rPr>
                <w:highlight w:val="none"/>
              </w:rPr>
            </w:pPr>
            <w:r>
              <w:rPr>
                <w:b/>
                <w:bCs/>
                <w:spacing w:val="-6"/>
                <w:highlight w:val="none"/>
              </w:rPr>
              <w:t>建设内容</w:t>
            </w:r>
          </w:p>
        </w:tc>
        <w:tc>
          <w:tcPr>
            <w:tcW w:w="3271" w:type="pct"/>
            <w:vAlign w:val="top"/>
          </w:tcPr>
          <w:p w14:paraId="50436859">
            <w:pPr>
              <w:pStyle w:val="5"/>
              <w:spacing w:before="181" w:line="219" w:lineRule="auto"/>
              <w:ind w:left="4536"/>
              <w:rPr>
                <w:highlight w:val="none"/>
              </w:rPr>
            </w:pPr>
            <w:r>
              <w:rPr>
                <w:b/>
                <w:bCs/>
                <w:spacing w:val="2"/>
                <w:highlight w:val="none"/>
              </w:rPr>
              <w:t>建设说明</w:t>
            </w:r>
          </w:p>
        </w:tc>
      </w:tr>
      <w:tr w14:paraId="38D13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3"/>
          <w:wAfter w:w="9" w:type="pct"/>
          <w:trHeight w:val="1337" w:hRule="atLeast"/>
        </w:trPr>
        <w:tc>
          <w:tcPr>
            <w:tcW w:w="591" w:type="pct"/>
            <w:gridSpan w:val="3"/>
            <w:vMerge w:val="restart"/>
            <w:tcBorders>
              <w:bottom w:val="nil"/>
            </w:tcBorders>
            <w:vAlign w:val="top"/>
          </w:tcPr>
          <w:p w14:paraId="6CEB251D">
            <w:pPr>
              <w:spacing w:line="270" w:lineRule="auto"/>
              <w:rPr>
                <w:rFonts w:ascii="Arial"/>
                <w:sz w:val="21"/>
                <w:highlight w:val="none"/>
              </w:rPr>
            </w:pPr>
          </w:p>
          <w:p w14:paraId="08B5D689">
            <w:pPr>
              <w:spacing w:line="270" w:lineRule="auto"/>
              <w:rPr>
                <w:rFonts w:ascii="Arial"/>
                <w:sz w:val="21"/>
                <w:highlight w:val="none"/>
              </w:rPr>
            </w:pPr>
          </w:p>
          <w:p w14:paraId="08F7D6D3">
            <w:pPr>
              <w:spacing w:line="270" w:lineRule="auto"/>
              <w:rPr>
                <w:rFonts w:ascii="Arial"/>
                <w:sz w:val="21"/>
                <w:highlight w:val="none"/>
              </w:rPr>
            </w:pPr>
          </w:p>
          <w:p w14:paraId="645BA707">
            <w:pPr>
              <w:spacing w:line="270" w:lineRule="auto"/>
              <w:rPr>
                <w:rFonts w:ascii="Arial"/>
                <w:sz w:val="21"/>
                <w:highlight w:val="none"/>
              </w:rPr>
            </w:pPr>
          </w:p>
          <w:p w14:paraId="4ED4634D">
            <w:pPr>
              <w:spacing w:line="271" w:lineRule="auto"/>
              <w:rPr>
                <w:rFonts w:ascii="Arial"/>
                <w:sz w:val="21"/>
                <w:highlight w:val="none"/>
              </w:rPr>
            </w:pPr>
          </w:p>
          <w:p w14:paraId="1870CE96">
            <w:pPr>
              <w:pStyle w:val="5"/>
              <w:spacing w:before="82" w:line="219" w:lineRule="auto"/>
              <w:ind w:left="165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一、政策保障</w:t>
            </w:r>
          </w:p>
        </w:tc>
        <w:tc>
          <w:tcPr>
            <w:tcW w:w="1128" w:type="pct"/>
            <w:vAlign w:val="top"/>
          </w:tcPr>
          <w:p w14:paraId="6AD64042">
            <w:pPr>
              <w:pStyle w:val="5"/>
              <w:spacing w:before="108" w:line="300" w:lineRule="auto"/>
              <w:ind w:left="11" w:firstLine="497"/>
              <w:jc w:val="both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1.慢性病防控工作纳入政府</w:t>
            </w:r>
            <w:r>
              <w:rPr>
                <w:spacing w:val="-18"/>
                <w:highlight w:val="none"/>
              </w:rPr>
              <w:t>经济社会发展规划，强化慢性病防</w:t>
            </w:r>
            <w:r>
              <w:rPr>
                <w:spacing w:val="-1"/>
                <w:highlight w:val="none"/>
              </w:rPr>
              <w:t>控的政府主导责任。</w:t>
            </w:r>
          </w:p>
        </w:tc>
        <w:tc>
          <w:tcPr>
            <w:tcW w:w="3271" w:type="pct"/>
            <w:vAlign w:val="top"/>
          </w:tcPr>
          <w:p w14:paraId="4CBACC98">
            <w:pPr>
              <w:pStyle w:val="5"/>
              <w:spacing w:before="111" w:line="222" w:lineRule="auto"/>
              <w:ind w:firstLine="261" w:firstLineChars="100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5"/>
                <w:highlight w:val="none"/>
                <w:lang w:val="en-US" w:eastAsia="zh-CN"/>
              </w:rPr>
              <w:t>1.</w:t>
            </w:r>
            <w:r>
              <w:rPr>
                <w:b/>
                <w:bCs/>
                <w:spacing w:val="5"/>
                <w:highlight w:val="none"/>
              </w:rPr>
              <w:t>要点</w:t>
            </w:r>
          </w:p>
          <w:p w14:paraId="5F54A5B2">
            <w:pPr>
              <w:pStyle w:val="5"/>
              <w:spacing w:before="148" w:line="283" w:lineRule="auto"/>
              <w:ind w:left="13" w:firstLine="469"/>
              <w:rPr>
                <w:spacing w:val="-1"/>
                <w:highlight w:val="none"/>
              </w:rPr>
            </w:pPr>
            <w:r>
              <w:rPr>
                <w:spacing w:val="-7"/>
                <w:highlight w:val="none"/>
              </w:rPr>
              <w:t>辖区政府将慢性病综合防控工作纳入当地经济社会发展规</w:t>
            </w:r>
            <w:r>
              <w:rPr>
                <w:spacing w:val="-8"/>
                <w:highlight w:val="none"/>
              </w:rPr>
              <w:t>划，同步纳入党委、政府主要工作</w:t>
            </w:r>
            <w:r>
              <w:rPr>
                <w:spacing w:val="-1"/>
                <w:highlight w:val="none"/>
              </w:rPr>
              <w:t>议题，明确各部门职责，推进落实慢性病综合防控各项工作。</w:t>
            </w:r>
          </w:p>
          <w:p w14:paraId="5735AA62">
            <w:pPr>
              <w:pStyle w:val="5"/>
              <w:spacing w:before="61" w:line="222" w:lineRule="auto"/>
              <w:ind w:left="267"/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2.建议：</w:t>
            </w:r>
          </w:p>
          <w:p w14:paraId="175F4023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eastAsia"/>
                <w:spacing w:val="-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（1）提供最新</w:t>
            </w:r>
            <w:r>
              <w:rPr>
                <w:spacing w:val="-5"/>
                <w:sz w:val="24"/>
                <w:szCs w:val="24"/>
                <w:highlight w:val="none"/>
              </w:rPr>
              <w:t>政府经济社会发展规划</w:t>
            </w:r>
            <w:r>
              <w:rPr>
                <w:rFonts w:hint="eastAsia"/>
                <w:spacing w:val="-5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并有</w:t>
            </w:r>
            <w:r>
              <w:rPr>
                <w:spacing w:val="-9"/>
                <w:sz w:val="24"/>
                <w:szCs w:val="24"/>
                <w:highlight w:val="none"/>
              </w:rPr>
              <w:t>慢性病综合防控工作</w:t>
            </w:r>
            <w:r>
              <w:rPr>
                <w:rFonts w:hint="eastAsia"/>
                <w:spacing w:val="-9"/>
                <w:sz w:val="24"/>
                <w:szCs w:val="24"/>
                <w:highlight w:val="none"/>
                <w:lang w:val="en-US" w:eastAsia="zh-CN"/>
              </w:rPr>
              <w:t>体现；</w:t>
            </w:r>
          </w:p>
          <w:p w14:paraId="51D5D581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eastAsia"/>
                <w:spacing w:val="-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9"/>
                <w:sz w:val="24"/>
                <w:szCs w:val="24"/>
                <w:highlight w:val="none"/>
                <w:lang w:val="en-US" w:eastAsia="zh-CN"/>
              </w:rPr>
              <w:t>（2）提供最新卫生健康事业规划，与</w:t>
            </w: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最新</w:t>
            </w:r>
            <w:r>
              <w:rPr>
                <w:spacing w:val="-5"/>
                <w:sz w:val="24"/>
                <w:szCs w:val="24"/>
                <w:highlight w:val="none"/>
              </w:rPr>
              <w:t>政府经济社会发展规划</w:t>
            </w: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相呼应；</w:t>
            </w:r>
          </w:p>
          <w:p w14:paraId="71F6D8CB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eastAsia"/>
                <w:spacing w:val="-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（3）提供慢病示范区实施方案，复审提供建设以来的方案；</w:t>
            </w:r>
          </w:p>
          <w:p w14:paraId="2C0C8CBA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eastAsia"/>
                <w:spacing w:val="-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（4）提供州市或县区</w:t>
            </w:r>
            <w:r>
              <w:rPr>
                <w:rFonts w:hint="eastAsia"/>
                <w:spacing w:val="-9"/>
                <w:sz w:val="24"/>
                <w:szCs w:val="24"/>
                <w:highlight w:val="none"/>
                <w:lang w:val="en-US" w:eastAsia="zh-CN"/>
              </w:rPr>
              <w:t>最新</w:t>
            </w: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慢病中长期规划，并有</w:t>
            </w:r>
            <w:r>
              <w:rPr>
                <w:spacing w:val="-9"/>
                <w:sz w:val="24"/>
                <w:szCs w:val="24"/>
                <w:highlight w:val="none"/>
              </w:rPr>
              <w:t>慢性病</w:t>
            </w:r>
            <w:r>
              <w:rPr>
                <w:rFonts w:hint="eastAsia"/>
                <w:spacing w:val="-9"/>
                <w:sz w:val="24"/>
                <w:szCs w:val="24"/>
                <w:highlight w:val="none"/>
                <w:lang w:val="en-US" w:eastAsia="zh-CN"/>
              </w:rPr>
              <w:t>示范区</w:t>
            </w:r>
            <w:r>
              <w:rPr>
                <w:spacing w:val="-9"/>
                <w:sz w:val="24"/>
                <w:szCs w:val="24"/>
                <w:highlight w:val="none"/>
              </w:rPr>
              <w:t>工作</w:t>
            </w:r>
            <w:r>
              <w:rPr>
                <w:rFonts w:hint="eastAsia"/>
                <w:spacing w:val="-9"/>
                <w:sz w:val="24"/>
                <w:szCs w:val="24"/>
                <w:highlight w:val="none"/>
                <w:lang w:val="en-US" w:eastAsia="zh-CN"/>
              </w:rPr>
              <w:t>体现</w:t>
            </w: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1B0D8BD9">
            <w:pPr>
              <w:pStyle w:val="5"/>
              <w:numPr>
                <w:ilvl w:val="0"/>
                <w:numId w:val="0"/>
              </w:numPr>
              <w:spacing w:before="129" w:line="299" w:lineRule="auto"/>
              <w:ind w:firstLine="230" w:firstLineChars="100"/>
              <w:rPr>
                <w:rFonts w:hint="eastAsia"/>
                <w:spacing w:val="-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（5）提供</w:t>
            </w: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最新</w:t>
            </w:r>
            <w:r>
              <w:rPr>
                <w:spacing w:val="-5"/>
                <w:sz w:val="24"/>
                <w:szCs w:val="24"/>
                <w:highlight w:val="none"/>
              </w:rPr>
              <w:t>政府经济社会发展规划</w:t>
            </w: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中涉及健康或者慢病防控工作任务的个部门延生规划；</w:t>
            </w:r>
          </w:p>
          <w:p w14:paraId="7F00170E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eastAsia"/>
                <w:spacing w:val="-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（6）健康政策入各部门规章制度的情况；</w:t>
            </w:r>
          </w:p>
          <w:p w14:paraId="2042AC81">
            <w:pPr>
              <w:pStyle w:val="5"/>
              <w:numPr>
                <w:ilvl w:val="0"/>
                <w:numId w:val="0"/>
              </w:numPr>
              <w:spacing w:before="129" w:line="299" w:lineRule="auto"/>
              <w:ind w:firstLine="230" w:firstLineChars="100"/>
              <w:rPr>
                <w:rFonts w:hint="eastAsia"/>
                <w:spacing w:val="-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（7）根据实际工作需要召开示范区工作推进会，安排部署工作任务，解决工作存在问题等；</w:t>
            </w:r>
          </w:p>
          <w:p w14:paraId="0AC8AB82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eastAsia"/>
                <w:spacing w:val="-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（8）根据实际工作需要开展5部门联合指导；</w:t>
            </w:r>
          </w:p>
          <w:p w14:paraId="6DFD00C4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eastAsia"/>
                <w:spacing w:val="-9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（9）提供年度政府工作报告，内容体现慢病防控工作总结或计划；</w:t>
            </w:r>
          </w:p>
          <w:p w14:paraId="664016AB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（10）将示范区纳入辖区政府和各相关部门年度综合评价工作。</w:t>
            </w:r>
          </w:p>
          <w:p w14:paraId="24FCD83C">
            <w:pPr>
              <w:pStyle w:val="5"/>
              <w:spacing w:before="148" w:line="283" w:lineRule="auto"/>
              <w:ind w:firstLine="230" w:firstLineChars="100"/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（11）纳入党委、政府主要工作议题的情况。</w:t>
            </w:r>
          </w:p>
          <w:p w14:paraId="0858623B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default"/>
                <w:spacing w:val="-5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3.动态系统：</w:t>
            </w:r>
          </w:p>
          <w:p w14:paraId="5077B96F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default"/>
                <w:spacing w:val="-5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（1）政府主要领导担任组长；</w:t>
            </w:r>
          </w:p>
          <w:p w14:paraId="7A388E4B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default"/>
                <w:spacing w:val="-5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（2）政府制定慢性病防控多部门协调机制；</w:t>
            </w:r>
          </w:p>
          <w:p w14:paraId="64902246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default"/>
                <w:spacing w:val="-5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（3）领导小组及联络员会议次数；</w:t>
            </w:r>
          </w:p>
          <w:p w14:paraId="0A927C05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default"/>
                <w:spacing w:val="-5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（4）政府组织开展慢性病防控多部门联合/第三方督导；</w:t>
            </w:r>
          </w:p>
          <w:p w14:paraId="2E8BA297">
            <w:pPr>
              <w:pStyle w:val="5"/>
              <w:spacing w:before="148" w:line="283" w:lineRule="auto"/>
              <w:ind w:firstLine="230" w:firstLineChars="100"/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（5）政府将示范区建设实施方案相关工作纳入部门绩效评估。</w:t>
            </w:r>
          </w:p>
        </w:tc>
      </w:tr>
      <w:tr w14:paraId="5515A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" w:type="pct"/>
          <w:trHeight w:val="1767" w:hRule="atLeast"/>
        </w:trPr>
        <w:tc>
          <w:tcPr>
            <w:tcW w:w="591" w:type="pct"/>
            <w:gridSpan w:val="3"/>
            <w:vMerge w:val="continue"/>
            <w:tcBorders>
              <w:top w:val="nil"/>
            </w:tcBorders>
            <w:vAlign w:val="top"/>
          </w:tcPr>
          <w:p w14:paraId="4A9AF35E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28" w:type="pct"/>
            <w:vAlign w:val="top"/>
          </w:tcPr>
          <w:p w14:paraId="15BE2370">
            <w:pPr>
              <w:spacing w:line="261" w:lineRule="auto"/>
              <w:rPr>
                <w:rFonts w:ascii="Arial"/>
                <w:sz w:val="21"/>
                <w:highlight w:val="none"/>
              </w:rPr>
            </w:pPr>
          </w:p>
          <w:p w14:paraId="6EA2F4D0">
            <w:pPr>
              <w:pStyle w:val="5"/>
              <w:spacing w:before="81" w:line="319" w:lineRule="auto"/>
              <w:ind w:left="11" w:firstLine="489"/>
              <w:jc w:val="both"/>
              <w:rPr>
                <w:highlight w:val="none"/>
              </w:rPr>
            </w:pPr>
            <w:r>
              <w:rPr>
                <w:spacing w:val="-19"/>
                <w:highlight w:val="none"/>
              </w:rPr>
              <w:t>2.辖区政府按</w:t>
            </w:r>
            <w:r>
              <w:rPr>
                <w:spacing w:val="-18"/>
                <w:highlight w:val="none"/>
              </w:rPr>
              <w:t>规划、计划提</w:t>
            </w:r>
            <w:r>
              <w:rPr>
                <w:spacing w:val="-11"/>
                <w:highlight w:val="none"/>
              </w:rPr>
              <w:t>供</w:t>
            </w:r>
            <w:r>
              <w:rPr>
                <w:spacing w:val="-18"/>
                <w:highlight w:val="none"/>
              </w:rPr>
              <w:t>的示范区建设</w:t>
            </w:r>
            <w:r>
              <w:rPr>
                <w:spacing w:val="-17"/>
                <w:highlight w:val="none"/>
              </w:rPr>
              <w:t>专项工作经费，专</w:t>
            </w:r>
            <w:r>
              <w:rPr>
                <w:spacing w:val="-11"/>
                <w:highlight w:val="none"/>
              </w:rPr>
              <w:t>款</w:t>
            </w:r>
            <w:r>
              <w:rPr>
                <w:spacing w:val="-1"/>
                <w:highlight w:val="none"/>
              </w:rPr>
              <w:t>专用，持续推进示范区建设。</w:t>
            </w:r>
          </w:p>
        </w:tc>
        <w:tc>
          <w:tcPr>
            <w:tcW w:w="3271" w:type="pct"/>
            <w:vAlign w:val="top"/>
          </w:tcPr>
          <w:p w14:paraId="53A8219A">
            <w:pPr>
              <w:pStyle w:val="5"/>
              <w:spacing w:before="114" w:line="222" w:lineRule="auto"/>
              <w:ind w:firstLine="261" w:firstLineChars="100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5"/>
                <w:highlight w:val="none"/>
                <w:lang w:val="en-US" w:eastAsia="zh-CN"/>
              </w:rPr>
              <w:t>1.</w:t>
            </w:r>
            <w:r>
              <w:rPr>
                <w:b/>
                <w:bCs/>
                <w:spacing w:val="5"/>
                <w:highlight w:val="none"/>
              </w:rPr>
              <w:t>要点</w:t>
            </w:r>
          </w:p>
          <w:p w14:paraId="019DB34C">
            <w:pPr>
              <w:pStyle w:val="5"/>
              <w:spacing w:before="149" w:line="220" w:lineRule="auto"/>
              <w:ind w:firstLine="250" w:firstLineChars="100"/>
              <w:rPr>
                <w:highlight w:val="none"/>
              </w:rPr>
            </w:pPr>
            <w:r>
              <w:rPr>
                <w:highlight w:val="none"/>
              </w:rPr>
              <w:t>示范区专项经费专款专用。</w:t>
            </w:r>
          </w:p>
          <w:p w14:paraId="408C22C2">
            <w:pPr>
              <w:pStyle w:val="5"/>
              <w:spacing w:before="97" w:line="219" w:lineRule="auto"/>
              <w:ind w:firstLine="265" w:firstLineChars="100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7"/>
                <w:highlight w:val="none"/>
                <w:lang w:val="en-US" w:eastAsia="zh-CN"/>
              </w:rPr>
              <w:t>2.</w:t>
            </w:r>
            <w:r>
              <w:rPr>
                <w:b/>
                <w:bCs/>
                <w:spacing w:val="7"/>
                <w:highlight w:val="none"/>
              </w:rPr>
              <w:t>说明</w:t>
            </w:r>
          </w:p>
          <w:p w14:paraId="0D45979A">
            <w:pPr>
              <w:pStyle w:val="5"/>
              <w:spacing w:before="157" w:line="219" w:lineRule="auto"/>
              <w:ind w:firstLine="250" w:firstLineChars="100"/>
              <w:rPr>
                <w:highlight w:val="none"/>
              </w:rPr>
            </w:pPr>
            <w:r>
              <w:rPr>
                <w:highlight w:val="none"/>
              </w:rPr>
              <w:t>省级、市、区县财政以示范区名义下拨的专项工作经费专用于示范区建设。</w:t>
            </w:r>
          </w:p>
          <w:p w14:paraId="134C9C9E">
            <w:pPr>
              <w:pStyle w:val="5"/>
              <w:spacing w:before="61" w:line="222" w:lineRule="auto"/>
              <w:ind w:left="267"/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3.建议：</w:t>
            </w:r>
          </w:p>
          <w:p w14:paraId="10BFF572">
            <w:pPr>
              <w:pStyle w:val="5"/>
              <w:numPr>
                <w:ilvl w:val="0"/>
                <w:numId w:val="0"/>
              </w:numPr>
              <w:spacing w:before="129" w:line="299" w:lineRule="auto"/>
              <w:ind w:firstLine="230" w:firstLineChars="100"/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（1）从申报国家级每年均有稳定的专项经费投入，统计年度国家、省、州市、县区配套示范区专项经费；</w:t>
            </w:r>
          </w:p>
          <w:p w14:paraId="6C3D45CF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（2）相关经费文件。</w:t>
            </w:r>
          </w:p>
          <w:p w14:paraId="626FE183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4.动态系统：</w:t>
            </w:r>
          </w:p>
          <w:p w14:paraId="3AA72F80">
            <w:pPr>
              <w:pStyle w:val="5"/>
              <w:spacing w:before="157" w:line="219" w:lineRule="auto"/>
              <w:ind w:firstLine="230" w:firstLineChars="100"/>
              <w:rPr>
                <w:highlight w:val="none"/>
              </w:rPr>
            </w:pPr>
            <w:r>
              <w:rPr>
                <w:rFonts w:hint="eastAsia"/>
                <w:spacing w:val="-5"/>
                <w:sz w:val="24"/>
                <w:szCs w:val="24"/>
                <w:highlight w:val="none"/>
                <w:lang w:val="en-US" w:eastAsia="zh-CN"/>
              </w:rPr>
              <w:t>（1）当年慢病防控经费（政府及各部门）、示范区经费、疾控机构业务总经费、疾控机构慢性病防控经费占业务总经费的比例；</w:t>
            </w:r>
          </w:p>
        </w:tc>
      </w:tr>
      <w:tr w14:paraId="4CD8B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" w:type="pct"/>
          <w:trHeight w:val="1772" w:hRule="atLeast"/>
        </w:trPr>
        <w:tc>
          <w:tcPr>
            <w:tcW w:w="591" w:type="pct"/>
            <w:gridSpan w:val="3"/>
            <w:vAlign w:val="top"/>
          </w:tcPr>
          <w:p w14:paraId="2DDCB5D7">
            <w:pPr>
              <w:spacing w:line="341" w:lineRule="auto"/>
              <w:rPr>
                <w:rFonts w:ascii="Arial"/>
                <w:sz w:val="21"/>
                <w:highlight w:val="none"/>
              </w:rPr>
            </w:pPr>
          </w:p>
          <w:p w14:paraId="422D334B">
            <w:pPr>
              <w:spacing w:line="341" w:lineRule="auto"/>
              <w:rPr>
                <w:rFonts w:ascii="Arial"/>
                <w:sz w:val="21"/>
                <w:highlight w:val="none"/>
              </w:rPr>
            </w:pPr>
          </w:p>
          <w:p w14:paraId="5245EA4D">
            <w:pPr>
              <w:pStyle w:val="5"/>
              <w:spacing w:before="81" w:line="219" w:lineRule="auto"/>
              <w:ind w:left="165"/>
              <w:rPr>
                <w:highlight w:val="none"/>
              </w:rPr>
            </w:pPr>
            <w:r>
              <w:rPr>
                <w:spacing w:val="1"/>
                <w:highlight w:val="none"/>
              </w:rPr>
              <w:t>二、环境支持</w:t>
            </w:r>
          </w:p>
        </w:tc>
        <w:tc>
          <w:tcPr>
            <w:tcW w:w="1128" w:type="pct"/>
            <w:vAlign w:val="top"/>
          </w:tcPr>
          <w:p w14:paraId="565D2E42">
            <w:pPr>
              <w:spacing w:line="266" w:lineRule="auto"/>
              <w:rPr>
                <w:rFonts w:ascii="Arial"/>
                <w:sz w:val="21"/>
                <w:highlight w:val="none"/>
              </w:rPr>
            </w:pPr>
          </w:p>
          <w:p w14:paraId="01933BB7">
            <w:pPr>
              <w:pStyle w:val="5"/>
              <w:spacing w:before="81" w:line="319" w:lineRule="auto"/>
              <w:ind w:left="11" w:firstLine="479"/>
              <w:jc w:val="both"/>
              <w:rPr>
                <w:highlight w:val="none"/>
              </w:rPr>
            </w:pPr>
            <w:r>
              <w:rPr>
                <w:spacing w:val="-18"/>
                <w:highlight w:val="none"/>
              </w:rPr>
              <w:t>3.实施</w:t>
            </w:r>
            <w:r>
              <w:rPr>
                <w:spacing w:val="-17"/>
                <w:highlight w:val="none"/>
              </w:rPr>
              <w:t>健康细胞工程，构建</w:t>
            </w:r>
            <w:r>
              <w:rPr>
                <w:spacing w:val="-13"/>
                <w:highlight w:val="none"/>
              </w:rPr>
              <w:t>全</w:t>
            </w:r>
            <w:r>
              <w:rPr>
                <w:spacing w:val="-18"/>
                <w:highlight w:val="none"/>
              </w:rPr>
              <w:t>方位健康</w:t>
            </w:r>
            <w:r>
              <w:rPr>
                <w:spacing w:val="-17"/>
                <w:highlight w:val="none"/>
              </w:rPr>
              <w:t>支持性环境，提升健康</w:t>
            </w:r>
            <w:r>
              <w:rPr>
                <w:spacing w:val="-13"/>
                <w:highlight w:val="none"/>
              </w:rPr>
              <w:t>环</w:t>
            </w:r>
            <w:r>
              <w:rPr>
                <w:spacing w:val="-1"/>
                <w:highlight w:val="none"/>
              </w:rPr>
              <w:t>境建设品质。</w:t>
            </w:r>
          </w:p>
        </w:tc>
        <w:tc>
          <w:tcPr>
            <w:tcW w:w="3271" w:type="pct"/>
            <w:vAlign w:val="top"/>
          </w:tcPr>
          <w:p w14:paraId="32145D75">
            <w:pPr>
              <w:pStyle w:val="5"/>
              <w:spacing w:before="97" w:line="222" w:lineRule="auto"/>
              <w:ind w:firstLine="261" w:firstLineChars="100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5"/>
                <w:highlight w:val="none"/>
                <w:lang w:val="en-US" w:eastAsia="zh-CN"/>
              </w:rPr>
              <w:t>1.</w:t>
            </w:r>
            <w:r>
              <w:rPr>
                <w:b/>
                <w:bCs/>
                <w:spacing w:val="5"/>
                <w:highlight w:val="none"/>
              </w:rPr>
              <w:t>要点</w:t>
            </w:r>
          </w:p>
          <w:p w14:paraId="5E2A0749">
            <w:pPr>
              <w:pStyle w:val="5"/>
              <w:spacing w:before="148" w:line="299" w:lineRule="auto"/>
              <w:ind w:firstLine="234" w:firstLineChars="100"/>
              <w:jc w:val="both"/>
              <w:rPr>
                <w:spacing w:val="-1"/>
                <w:highlight w:val="none"/>
              </w:rPr>
            </w:pPr>
            <w:r>
              <w:rPr>
                <w:spacing w:val="-8"/>
                <w:highlight w:val="none"/>
              </w:rPr>
              <w:t>按照《全民健康生活方式行动健康支持性环境建设指导方案》开展健康支持性环境建设；健康学校按《教育部关于全面推进健康学校建设的指导意见》开展建设，中小学生每天综合体育活</w:t>
            </w:r>
            <w:r>
              <w:rPr>
                <w:spacing w:val="-1"/>
                <w:highlight w:val="none"/>
              </w:rPr>
              <w:t>动时间不低于2小时的学校比例。</w:t>
            </w:r>
          </w:p>
          <w:p w14:paraId="42225971">
            <w:pPr>
              <w:pStyle w:val="5"/>
              <w:spacing w:before="61" w:line="222" w:lineRule="auto"/>
              <w:ind w:left="267"/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2.建议：</w:t>
            </w:r>
          </w:p>
          <w:p w14:paraId="307E7576">
            <w:pPr>
              <w:pStyle w:val="5"/>
              <w:numPr>
                <w:ilvl w:val="0"/>
                <w:numId w:val="0"/>
              </w:numPr>
              <w:spacing w:before="129" w:line="299" w:lineRule="auto"/>
              <w:ind w:firstLine="238" w:firstLineChars="100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（1）县区按照建设标准创建（建设过程辅助材料，如：方案、评估、命名等）；</w:t>
            </w:r>
          </w:p>
          <w:p w14:paraId="6969D6F4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（2）健康社区占辖区社区总数</w:t>
            </w:r>
            <w:r>
              <w:rPr>
                <w:rFonts w:hint="default"/>
                <w:spacing w:val="-1"/>
                <w:sz w:val="24"/>
                <w:szCs w:val="24"/>
                <w:highlight w:val="none"/>
                <w:lang w:val="en-US" w:eastAsia="zh-CN"/>
              </w:rPr>
              <w:t>≥30%</w:t>
            </w: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，复审逐年增加5%或达到40%及以上；</w:t>
            </w:r>
          </w:p>
          <w:p w14:paraId="6AC3C095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default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①分年度统计健康社区；</w:t>
            </w:r>
          </w:p>
          <w:p w14:paraId="3E454106">
            <w:pPr>
              <w:pStyle w:val="5"/>
              <w:numPr>
                <w:ilvl w:val="0"/>
                <w:numId w:val="0"/>
              </w:numPr>
              <w:spacing w:before="129" w:line="299" w:lineRule="auto"/>
              <w:ind w:left="213" w:leftChars="0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②提供至少5家健康社区创建材料。</w:t>
            </w:r>
          </w:p>
          <w:p w14:paraId="5FF19F86">
            <w:pPr>
              <w:pStyle w:val="5"/>
              <w:numPr>
                <w:ilvl w:val="0"/>
                <w:numId w:val="0"/>
              </w:numPr>
              <w:spacing w:before="129" w:line="299" w:lineRule="auto"/>
              <w:ind w:firstLine="238" w:firstLineChars="100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（3）健康单位、学校、食堂、餐厅/酒店每类不少于5个，复审每年增加2个或每类达到10个及以上；</w:t>
            </w:r>
          </w:p>
          <w:p w14:paraId="7514050C">
            <w:pPr>
              <w:pStyle w:val="5"/>
              <w:numPr>
                <w:ilvl w:val="0"/>
                <w:numId w:val="0"/>
              </w:numPr>
              <w:spacing w:before="129" w:line="299" w:lineRule="auto"/>
              <w:ind w:firstLine="238" w:firstLineChars="100"/>
              <w:rPr>
                <w:rFonts w:hint="default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①分年度统计；</w:t>
            </w:r>
          </w:p>
          <w:p w14:paraId="606F9092">
            <w:pPr>
              <w:pStyle w:val="5"/>
              <w:numPr>
                <w:ilvl w:val="0"/>
                <w:numId w:val="0"/>
              </w:numPr>
              <w:spacing w:before="129" w:line="299" w:lineRule="auto"/>
              <w:ind w:firstLine="238" w:firstLineChars="100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②提供至少每类5家健康元素创建材料，复审时提供至少每类8家。</w:t>
            </w:r>
          </w:p>
          <w:p w14:paraId="07D6D939">
            <w:pPr>
              <w:pStyle w:val="5"/>
              <w:numPr>
                <w:ilvl w:val="0"/>
                <w:numId w:val="0"/>
              </w:numPr>
              <w:spacing w:before="129" w:line="299" w:lineRule="auto"/>
              <w:ind w:firstLine="238" w:firstLineChars="100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（4）健康主题公园、步道、小屋、街区、超市、社团等，建设4类，复审在新建基础上健康步道、小屋等数量逐年有增加或每类建设数量达到3个；</w:t>
            </w:r>
          </w:p>
          <w:p w14:paraId="7214B840">
            <w:pPr>
              <w:pStyle w:val="5"/>
              <w:numPr>
                <w:ilvl w:val="0"/>
                <w:numId w:val="0"/>
              </w:numPr>
              <w:spacing w:before="129" w:line="299" w:lineRule="auto"/>
              <w:ind w:firstLine="238" w:firstLineChars="100"/>
              <w:rPr>
                <w:rFonts w:hint="default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①分年度统计；</w:t>
            </w:r>
          </w:p>
          <w:p w14:paraId="53805597">
            <w:pPr>
              <w:pStyle w:val="5"/>
              <w:numPr>
                <w:ilvl w:val="0"/>
                <w:numId w:val="0"/>
              </w:numPr>
              <w:spacing w:before="129" w:line="299" w:lineRule="auto"/>
              <w:ind w:firstLine="238" w:firstLineChars="100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②提供每类健康元素创建材料。</w:t>
            </w:r>
          </w:p>
          <w:p w14:paraId="2B817363">
            <w:pPr>
              <w:pStyle w:val="5"/>
              <w:numPr>
                <w:ilvl w:val="0"/>
                <w:numId w:val="1"/>
              </w:numPr>
              <w:spacing w:before="129" w:line="299" w:lineRule="auto"/>
              <w:ind w:firstLine="238" w:firstLineChars="100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年度支持性环境名单动态调整。</w:t>
            </w:r>
          </w:p>
          <w:p w14:paraId="79F4D738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6）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中小学生每天校内体育活动时间不少于</w:t>
            </w: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小时的比例；</w:t>
            </w:r>
          </w:p>
          <w:p w14:paraId="1FBA9202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①教体或学校将中小学生每天校内体育活动时间不少于</w:t>
            </w: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小时纳入年度评价；</w:t>
            </w:r>
          </w:p>
          <w:p w14:paraId="27E7A6A0">
            <w:pPr>
              <w:pStyle w:val="5"/>
              <w:spacing w:before="145" w:line="219" w:lineRule="auto"/>
              <w:ind w:firstLine="238" w:firstLineChars="100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②体育活动时间不少于</w:t>
            </w: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小时落实情况；</w:t>
            </w:r>
          </w:p>
          <w:p w14:paraId="4ECDA6F0">
            <w:pPr>
              <w:pStyle w:val="5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129" w:line="299" w:lineRule="auto"/>
              <w:ind w:firstLine="249" w:firstLineChars="100"/>
              <w:jc w:val="left"/>
              <w:textAlignment w:val="baseline"/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3.动态系统：</w:t>
            </w:r>
          </w:p>
          <w:p w14:paraId="3654F6ED">
            <w:pPr>
              <w:pStyle w:val="5"/>
              <w:spacing w:before="148" w:line="299" w:lineRule="auto"/>
              <w:ind w:firstLine="238" w:firstLineChars="100"/>
              <w:jc w:val="both"/>
              <w:rPr>
                <w:spacing w:val="-1"/>
                <w:highlight w:val="none"/>
              </w:rPr>
            </w:pPr>
            <w:r>
              <w:rPr>
                <w:rFonts w:hint="eastAsia"/>
                <w:spacing w:val="-1"/>
                <w:sz w:val="24"/>
                <w:szCs w:val="24"/>
                <w:highlight w:val="none"/>
                <w:lang w:val="en-US" w:eastAsia="zh-CN"/>
              </w:rPr>
              <w:t>（1）健康生活方式指导员培养，五进活动。</w:t>
            </w:r>
          </w:p>
        </w:tc>
      </w:tr>
      <w:tr w14:paraId="51FC3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" w:type="pct"/>
          <w:trHeight w:val="2222" w:hRule="atLeast"/>
        </w:trPr>
        <w:tc>
          <w:tcPr>
            <w:tcW w:w="591" w:type="pct"/>
            <w:gridSpan w:val="3"/>
            <w:vAlign w:val="top"/>
          </w:tcPr>
          <w:p w14:paraId="2C52634E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28" w:type="pct"/>
            <w:vAlign w:val="top"/>
          </w:tcPr>
          <w:p w14:paraId="7CDDAAE7">
            <w:pPr>
              <w:spacing w:line="354" w:lineRule="auto"/>
              <w:rPr>
                <w:rFonts w:ascii="Arial"/>
                <w:sz w:val="21"/>
                <w:highlight w:val="none"/>
              </w:rPr>
            </w:pPr>
          </w:p>
          <w:p w14:paraId="15C9988D">
            <w:pPr>
              <w:spacing w:line="354" w:lineRule="auto"/>
              <w:rPr>
                <w:rFonts w:ascii="Arial"/>
                <w:sz w:val="21"/>
                <w:highlight w:val="none"/>
              </w:rPr>
            </w:pPr>
          </w:p>
          <w:p w14:paraId="1DD6899D">
            <w:pPr>
              <w:pStyle w:val="5"/>
              <w:spacing w:before="81" w:line="320" w:lineRule="auto"/>
              <w:ind w:left="11" w:firstLine="248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4.普及公共体育设施，营造有</w:t>
            </w:r>
            <w:r>
              <w:rPr>
                <w:spacing w:val="-2"/>
                <w:highlight w:val="none"/>
              </w:rPr>
              <w:t>利于体育活动的支持性环境。</w:t>
            </w:r>
          </w:p>
        </w:tc>
        <w:tc>
          <w:tcPr>
            <w:tcW w:w="3274" w:type="pct"/>
            <w:gridSpan w:val="2"/>
            <w:vAlign w:val="top"/>
          </w:tcPr>
          <w:p w14:paraId="519A68E4">
            <w:pPr>
              <w:pStyle w:val="5"/>
              <w:spacing w:before="85" w:line="222" w:lineRule="auto"/>
              <w:ind w:firstLine="261" w:firstLineChars="100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5"/>
                <w:highlight w:val="none"/>
                <w:lang w:val="en-US" w:eastAsia="zh-CN"/>
              </w:rPr>
              <w:t>1.</w:t>
            </w:r>
            <w:r>
              <w:rPr>
                <w:b/>
                <w:bCs/>
                <w:spacing w:val="5"/>
                <w:highlight w:val="none"/>
              </w:rPr>
              <w:t>要点</w:t>
            </w:r>
          </w:p>
          <w:p w14:paraId="58F79FEB">
            <w:pPr>
              <w:pStyle w:val="5"/>
              <w:spacing w:before="157" w:line="324" w:lineRule="auto"/>
              <w:ind w:firstLine="242" w:firstLineChars="100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加强乡镇、街道健身场地器材配备，构建多层级健身设施网络和城镇社区1</w:t>
            </w:r>
            <w:r>
              <w:rPr>
                <w:spacing w:val="-5"/>
                <w:highlight w:val="none"/>
              </w:rPr>
              <w:t>5分钟健身圈/农</w:t>
            </w:r>
            <w:r>
              <w:rPr>
                <w:highlight w:val="none"/>
              </w:rPr>
              <w:t>村行政村体育设施覆盖率；人均体育场地面</w:t>
            </w:r>
            <w:r>
              <w:rPr>
                <w:spacing w:val="-1"/>
                <w:highlight w:val="none"/>
              </w:rPr>
              <w:t>积。</w:t>
            </w:r>
          </w:p>
          <w:p w14:paraId="7533DF99">
            <w:pPr>
              <w:pStyle w:val="5"/>
              <w:spacing w:line="219" w:lineRule="auto"/>
              <w:ind w:firstLine="265" w:firstLineChars="100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7"/>
                <w:highlight w:val="none"/>
                <w:lang w:val="en-US" w:eastAsia="zh-CN"/>
              </w:rPr>
              <w:t>2.</w:t>
            </w:r>
            <w:r>
              <w:rPr>
                <w:b/>
                <w:bCs/>
                <w:spacing w:val="7"/>
                <w:highlight w:val="none"/>
              </w:rPr>
              <w:t>说明</w:t>
            </w:r>
          </w:p>
          <w:p w14:paraId="2EE8B6C2">
            <w:pPr>
              <w:pStyle w:val="5"/>
              <w:spacing w:before="155" w:line="219" w:lineRule="auto"/>
              <w:ind w:firstLine="250" w:firstLineChars="100"/>
              <w:rPr>
                <w:highlight w:val="none"/>
              </w:rPr>
            </w:pPr>
            <w:r>
              <w:rPr>
                <w:highlight w:val="none"/>
              </w:rPr>
              <w:t>社区建设15分钟健身圈，农村行政村建体育设施，设施完好，提高人均体育场地面积。</w:t>
            </w:r>
          </w:p>
        </w:tc>
      </w:tr>
      <w:tr w14:paraId="4B4B2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" w:type="pct"/>
          <w:trHeight w:val="2197" w:hRule="atLeast"/>
        </w:trPr>
        <w:tc>
          <w:tcPr>
            <w:tcW w:w="591" w:type="pct"/>
            <w:gridSpan w:val="3"/>
            <w:vAlign w:val="top"/>
          </w:tcPr>
          <w:p w14:paraId="38BB5258">
            <w:pPr>
              <w:spacing w:line="298" w:lineRule="auto"/>
              <w:rPr>
                <w:rFonts w:ascii="Arial"/>
                <w:sz w:val="21"/>
                <w:highlight w:val="none"/>
              </w:rPr>
            </w:pPr>
          </w:p>
          <w:p w14:paraId="5BDB86FB">
            <w:pPr>
              <w:spacing w:line="298" w:lineRule="auto"/>
              <w:rPr>
                <w:rFonts w:ascii="Arial"/>
                <w:sz w:val="21"/>
                <w:highlight w:val="none"/>
              </w:rPr>
            </w:pPr>
          </w:p>
          <w:p w14:paraId="7E7FDB21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0C3005A6">
            <w:pPr>
              <w:pStyle w:val="5"/>
              <w:spacing w:before="81" w:line="219" w:lineRule="auto"/>
              <w:ind w:left="165"/>
              <w:rPr>
                <w:highlight w:val="none"/>
              </w:rPr>
            </w:pPr>
            <w:r>
              <w:rPr>
                <w:spacing w:val="-2"/>
                <w:highlight w:val="none"/>
              </w:rPr>
              <w:t>三、健康促进</w:t>
            </w:r>
          </w:p>
        </w:tc>
        <w:tc>
          <w:tcPr>
            <w:tcW w:w="1128" w:type="pct"/>
            <w:vAlign w:val="top"/>
          </w:tcPr>
          <w:p w14:paraId="3EE41A94">
            <w:pPr>
              <w:spacing w:line="449" w:lineRule="auto"/>
              <w:rPr>
                <w:rFonts w:ascii="Arial"/>
                <w:sz w:val="21"/>
                <w:highlight w:val="none"/>
              </w:rPr>
            </w:pPr>
          </w:p>
          <w:p w14:paraId="00572FC7">
            <w:pPr>
              <w:pStyle w:val="5"/>
              <w:spacing w:before="81" w:line="330" w:lineRule="auto"/>
              <w:ind w:left="11" w:firstLine="356"/>
              <w:jc w:val="both"/>
              <w:rPr>
                <w:highlight w:val="none"/>
              </w:rPr>
            </w:pPr>
            <w:r>
              <w:rPr>
                <w:spacing w:val="-8"/>
                <w:highlight w:val="none"/>
              </w:rPr>
              <w:t>5.开展健康教育和健康促进，</w:t>
            </w:r>
            <w:r>
              <w:rPr>
                <w:spacing w:val="-23"/>
                <w:w w:val="99"/>
                <w:highlight w:val="none"/>
              </w:rPr>
              <w:t>加大健康知识传播力度，提高居民</w:t>
            </w:r>
            <w:r>
              <w:rPr>
                <w:spacing w:val="-8"/>
                <w:highlight w:val="none"/>
              </w:rPr>
              <w:t>健康素养水平。</w:t>
            </w:r>
          </w:p>
        </w:tc>
        <w:tc>
          <w:tcPr>
            <w:tcW w:w="3274" w:type="pct"/>
            <w:gridSpan w:val="2"/>
            <w:vAlign w:val="top"/>
          </w:tcPr>
          <w:p w14:paraId="00A1EF4C">
            <w:pPr>
              <w:pStyle w:val="5"/>
              <w:spacing w:before="93" w:line="222" w:lineRule="auto"/>
              <w:ind w:firstLine="261" w:firstLineChars="100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5"/>
                <w:highlight w:val="none"/>
                <w:lang w:val="en-US" w:eastAsia="zh-CN"/>
              </w:rPr>
              <w:t>1.</w:t>
            </w:r>
            <w:r>
              <w:rPr>
                <w:b/>
                <w:bCs/>
                <w:spacing w:val="5"/>
                <w:highlight w:val="none"/>
              </w:rPr>
              <w:t>要点</w:t>
            </w:r>
          </w:p>
          <w:p w14:paraId="5201D0FC">
            <w:pPr>
              <w:pStyle w:val="5"/>
              <w:spacing w:before="159" w:line="219" w:lineRule="auto"/>
              <w:ind w:firstLine="250" w:firstLineChars="100"/>
              <w:rPr>
                <w:highlight w:val="none"/>
              </w:rPr>
            </w:pPr>
            <w:r>
              <w:rPr>
                <w:highlight w:val="none"/>
              </w:rPr>
              <w:t>居民重点慢性病核心知识知晓率；健康素养水平；老年人健康素养水平。</w:t>
            </w:r>
          </w:p>
          <w:p w14:paraId="00B1E53F">
            <w:pPr>
              <w:pStyle w:val="5"/>
              <w:spacing w:before="129" w:line="219" w:lineRule="auto"/>
              <w:ind w:firstLine="265" w:firstLineChars="100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7"/>
                <w:highlight w:val="none"/>
                <w:lang w:val="en-US" w:eastAsia="zh-CN"/>
              </w:rPr>
              <w:t>2.</w:t>
            </w:r>
            <w:r>
              <w:rPr>
                <w:b/>
                <w:bCs/>
                <w:spacing w:val="7"/>
                <w:highlight w:val="none"/>
              </w:rPr>
              <w:t>说明</w:t>
            </w:r>
          </w:p>
          <w:p w14:paraId="235990B4">
            <w:pPr>
              <w:pStyle w:val="5"/>
              <w:spacing w:before="135" w:line="286" w:lineRule="auto"/>
              <w:ind w:firstLine="234" w:firstLineChars="100"/>
              <w:rPr>
                <w:spacing w:val="-1"/>
                <w:highlight w:val="none"/>
              </w:rPr>
            </w:pPr>
            <w:r>
              <w:rPr>
                <w:spacing w:val="-8"/>
                <w:highlight w:val="none"/>
              </w:rPr>
              <w:t>健康素养水平是指具备健康素养的人在监测总人群中所占的比例。计算方法：具备基本健康</w:t>
            </w:r>
            <w:r>
              <w:rPr>
                <w:spacing w:val="-1"/>
                <w:highlight w:val="none"/>
              </w:rPr>
              <w:t>素养的人数/监测人群总人数×100%。</w:t>
            </w:r>
          </w:p>
          <w:p w14:paraId="39949482">
            <w:pPr>
              <w:pStyle w:val="5"/>
              <w:spacing w:before="61" w:line="222" w:lineRule="auto"/>
              <w:ind w:left="267"/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3.建议：</w:t>
            </w:r>
          </w:p>
          <w:p w14:paraId="11ADE40A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（1）提供居民重点慢性病核心知识知晓率；健康素养水平；老年人健康素养水平，并体现逐年上升趋势；</w:t>
            </w:r>
          </w:p>
          <w:p w14:paraId="72086A46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（2）提供居民重点慢性病核心知识知晓率；健康素养水平；老年人健康素养水平调查方案，抽样具有辖区代表性；</w:t>
            </w:r>
          </w:p>
          <w:p w14:paraId="23EBD662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（3）调查数据库；</w:t>
            </w:r>
          </w:p>
          <w:p w14:paraId="1A876D4D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（4）调查报告，报告撰写合理；</w:t>
            </w:r>
          </w:p>
          <w:p w14:paraId="7ABD39C1">
            <w:pPr>
              <w:pStyle w:val="5"/>
              <w:spacing w:before="145" w:line="219" w:lineRule="auto"/>
              <w:ind w:firstLine="238" w:firstLineChars="100"/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（5）上述三个率主要通过哪些具体突出发工作体现</w:t>
            </w: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  <w:p w14:paraId="1AF34E95">
            <w:pPr>
              <w:pStyle w:val="5"/>
              <w:spacing w:before="145" w:line="219" w:lineRule="auto"/>
              <w:ind w:firstLine="249" w:firstLineChars="100"/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4.动态系统：</w:t>
            </w:r>
          </w:p>
          <w:p w14:paraId="6E54ACC5">
            <w:pPr>
              <w:pStyle w:val="5"/>
              <w:spacing w:before="145" w:line="219" w:lineRule="auto"/>
              <w:ind w:firstLine="238" w:firstLineChars="100"/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（1）依托大众媒体开展慢性病健康教育，传统及新媒体应用情况；</w:t>
            </w:r>
          </w:p>
          <w:p w14:paraId="0F8C8B7E">
            <w:pPr>
              <w:pStyle w:val="5"/>
              <w:spacing w:before="145" w:line="219" w:lineRule="auto"/>
              <w:ind w:firstLine="238" w:firstLineChars="100"/>
              <w:rPr>
                <w:rFonts w:hint="default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（2）社区设有健康教育活动室并开展活动；</w:t>
            </w:r>
          </w:p>
          <w:p w14:paraId="1740FD35">
            <w:pPr>
              <w:pStyle w:val="5"/>
              <w:spacing w:before="145" w:line="219" w:lineRule="auto"/>
              <w:ind w:firstLine="238" w:firstLineChars="100"/>
              <w:rPr>
                <w:rFonts w:hint="default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（3）社区设有健康教育宣传栏；</w:t>
            </w:r>
          </w:p>
          <w:p w14:paraId="2F4E6666">
            <w:pPr>
              <w:pStyle w:val="5"/>
              <w:spacing w:before="145" w:line="219" w:lineRule="auto"/>
              <w:ind w:firstLine="238" w:firstLineChars="100"/>
              <w:rPr>
                <w:rFonts w:hint="default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（4）中小学开展健康教育课程情况；</w:t>
            </w:r>
          </w:p>
          <w:p w14:paraId="233EC11D">
            <w:pPr>
              <w:pStyle w:val="5"/>
              <w:spacing w:before="135" w:line="286" w:lineRule="auto"/>
              <w:ind w:firstLine="238" w:firstLineChars="100"/>
              <w:rPr>
                <w:spacing w:val="-1"/>
                <w:highlight w:val="none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（5）慢性病自我管理小组活动开展情况。</w:t>
            </w:r>
          </w:p>
        </w:tc>
      </w:tr>
      <w:tr w14:paraId="4C89C0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6" w:type="pct"/>
          <w:trHeight w:val="2471" w:hRule="atLeast"/>
        </w:trPr>
        <w:tc>
          <w:tcPr>
            <w:tcW w:w="591" w:type="pct"/>
            <w:gridSpan w:val="3"/>
            <w:vAlign w:val="top"/>
          </w:tcPr>
          <w:p w14:paraId="3DEBC216">
            <w:pPr>
              <w:spacing w:line="267" w:lineRule="auto"/>
              <w:rPr>
                <w:rFonts w:ascii="Arial"/>
                <w:sz w:val="21"/>
                <w:highlight w:val="none"/>
              </w:rPr>
            </w:pPr>
          </w:p>
          <w:p w14:paraId="5A94D36E">
            <w:pPr>
              <w:spacing w:line="267" w:lineRule="auto"/>
              <w:rPr>
                <w:rFonts w:ascii="Arial"/>
                <w:sz w:val="21"/>
                <w:highlight w:val="none"/>
              </w:rPr>
            </w:pPr>
          </w:p>
          <w:p w14:paraId="13044D26">
            <w:pPr>
              <w:spacing w:line="267" w:lineRule="auto"/>
              <w:rPr>
                <w:rFonts w:ascii="Arial"/>
                <w:sz w:val="21"/>
                <w:highlight w:val="none"/>
              </w:rPr>
            </w:pPr>
          </w:p>
          <w:p w14:paraId="722E333B">
            <w:pPr>
              <w:spacing w:line="268" w:lineRule="auto"/>
              <w:rPr>
                <w:rFonts w:ascii="Arial"/>
                <w:sz w:val="21"/>
                <w:highlight w:val="none"/>
              </w:rPr>
            </w:pPr>
          </w:p>
          <w:p w14:paraId="5A9328D7">
            <w:pPr>
              <w:spacing w:line="268" w:lineRule="auto"/>
              <w:rPr>
                <w:rFonts w:ascii="Arial"/>
                <w:sz w:val="21"/>
                <w:highlight w:val="none"/>
              </w:rPr>
            </w:pPr>
          </w:p>
          <w:p w14:paraId="72DAA2B6">
            <w:pPr>
              <w:pStyle w:val="5"/>
              <w:spacing w:before="81" w:line="219" w:lineRule="auto"/>
              <w:ind w:left="165"/>
              <w:rPr>
                <w:highlight w:val="none"/>
              </w:rPr>
            </w:pPr>
            <w:r>
              <w:rPr>
                <w:spacing w:val="1"/>
                <w:highlight w:val="none"/>
              </w:rPr>
              <w:t>四、全程管理</w:t>
            </w:r>
          </w:p>
        </w:tc>
        <w:tc>
          <w:tcPr>
            <w:tcW w:w="1128" w:type="pct"/>
            <w:vAlign w:val="top"/>
          </w:tcPr>
          <w:p w14:paraId="5CFEE69E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0F1AAD65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66F790C5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5E049333">
            <w:pPr>
              <w:pStyle w:val="5"/>
              <w:spacing w:before="81" w:line="323" w:lineRule="auto"/>
              <w:ind w:left="11" w:firstLine="248"/>
              <w:jc w:val="both"/>
              <w:rPr>
                <w:highlight w:val="none"/>
              </w:rPr>
            </w:pPr>
            <w:r>
              <w:rPr>
                <w:spacing w:val="-1"/>
                <w:highlight w:val="none"/>
              </w:rPr>
              <w:t>6.开展学生、老年人等重点人群和职工定期健康体检和健康指导，提升健康水平。</w:t>
            </w:r>
          </w:p>
        </w:tc>
        <w:tc>
          <w:tcPr>
            <w:tcW w:w="3274" w:type="pct"/>
            <w:gridSpan w:val="2"/>
            <w:vAlign w:val="top"/>
          </w:tcPr>
          <w:p w14:paraId="5B9A92DD">
            <w:pPr>
              <w:pStyle w:val="5"/>
              <w:spacing w:before="96" w:line="222" w:lineRule="auto"/>
              <w:ind w:firstLine="261" w:firstLineChars="100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5"/>
                <w:highlight w:val="none"/>
                <w:lang w:val="en-US" w:eastAsia="zh-CN"/>
              </w:rPr>
              <w:t>1.</w:t>
            </w:r>
            <w:r>
              <w:rPr>
                <w:b/>
                <w:bCs/>
                <w:spacing w:val="5"/>
                <w:highlight w:val="none"/>
              </w:rPr>
              <w:t>要点</w:t>
            </w:r>
          </w:p>
          <w:p w14:paraId="0E3F28CA">
            <w:pPr>
              <w:pStyle w:val="5"/>
              <w:spacing w:before="157" w:line="310" w:lineRule="auto"/>
              <w:ind w:right="210" w:firstLine="250" w:firstLineChars="100"/>
              <w:rPr>
                <w:highlight w:val="none"/>
              </w:rPr>
            </w:pPr>
            <w:r>
              <w:rPr>
                <w:highlight w:val="none"/>
              </w:rPr>
              <w:t>国家学生体质健康标准达标优良率；65岁及以上老年人城乡社区规范健康管理服务率。</w:t>
            </w:r>
          </w:p>
          <w:p w14:paraId="79BF1619">
            <w:pPr>
              <w:pStyle w:val="5"/>
              <w:spacing w:before="157" w:line="310" w:lineRule="auto"/>
              <w:ind w:right="210" w:firstLine="265" w:firstLineChars="100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7"/>
                <w:highlight w:val="none"/>
                <w:lang w:val="en-US" w:eastAsia="zh-CN"/>
              </w:rPr>
              <w:t>2.</w:t>
            </w:r>
            <w:r>
              <w:rPr>
                <w:b/>
                <w:bCs/>
                <w:spacing w:val="7"/>
                <w:highlight w:val="none"/>
              </w:rPr>
              <w:t>说明</w:t>
            </w:r>
          </w:p>
          <w:p w14:paraId="4A656992">
            <w:pPr>
              <w:pStyle w:val="5"/>
              <w:spacing w:before="21" w:line="272" w:lineRule="auto"/>
              <w:ind w:firstLine="250" w:firstLineChars="100"/>
              <w:rPr>
                <w:highlight w:val="none"/>
              </w:rPr>
            </w:pPr>
            <w:r>
              <w:rPr>
                <w:highlight w:val="none"/>
              </w:rPr>
              <w:t>(1)国家学生体质健康标准达标优良率=学年</w:t>
            </w:r>
            <w:r>
              <w:rPr>
                <w:spacing w:val="-1"/>
                <w:highlight w:val="none"/>
              </w:rPr>
              <w:t>体质综合评定总分80分及以上学生数/参加评定学生总人数×100%。</w:t>
            </w:r>
          </w:p>
          <w:p w14:paraId="73753E9E">
            <w:pPr>
              <w:pStyle w:val="5"/>
              <w:spacing w:before="143" w:line="275" w:lineRule="auto"/>
              <w:ind w:firstLine="242" w:firstLineChars="100"/>
              <w:rPr>
                <w:spacing w:val="-1"/>
                <w:highlight w:val="none"/>
              </w:rPr>
            </w:pPr>
            <w:r>
              <w:rPr>
                <w:spacing w:val="-4"/>
                <w:highlight w:val="none"/>
              </w:rPr>
              <w:t>(2)65岁及以上老年人城乡社区规范健康管理服务率=65岁及以上老年人城乡社区规范健康</w:t>
            </w:r>
            <w:r>
              <w:rPr>
                <w:highlight w:val="none"/>
              </w:rPr>
              <w:t>管理服务人数/辖区内65岁及以上常住居民数×</w:t>
            </w:r>
            <w:r>
              <w:rPr>
                <w:spacing w:val="-1"/>
                <w:highlight w:val="none"/>
              </w:rPr>
              <w:t>100%。</w:t>
            </w:r>
          </w:p>
          <w:p w14:paraId="2DE7718E">
            <w:pPr>
              <w:pStyle w:val="5"/>
              <w:spacing w:before="61" w:line="222" w:lineRule="auto"/>
              <w:ind w:left="267"/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3.建议：</w:t>
            </w:r>
          </w:p>
          <w:p w14:paraId="62A60F2B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（1）国家学生体质健康标准达标优良率；</w:t>
            </w:r>
          </w:p>
          <w:p w14:paraId="34C3A330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①提供国家学生体质健康标准达标优良率，并体现逐年上升的趋势；</w:t>
            </w:r>
          </w:p>
          <w:p w14:paraId="2D141CCA">
            <w:pPr>
              <w:pStyle w:val="5"/>
              <w:spacing w:before="145" w:line="219" w:lineRule="auto"/>
              <w:ind w:firstLine="238" w:firstLineChars="100"/>
              <w:rPr>
                <w:rFonts w:hint="default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②导致国家学生体质健康标准达标优良率逐年上升的主要做法；</w:t>
            </w:r>
          </w:p>
          <w:p w14:paraId="71A30D1E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（2）65岁及以上老年人城乡社区规范健康管理服务率；</w:t>
            </w:r>
          </w:p>
          <w:p w14:paraId="2217C8AA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①提供65岁及以上老年人城乡社区规范健康管理服务率，并体现逐年上升的趋势；</w:t>
            </w:r>
          </w:p>
          <w:p w14:paraId="2F980C95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②导致65岁及以上老年人城乡社区规范健康管理服务率逐年上升的主要做法；</w:t>
            </w:r>
          </w:p>
          <w:p w14:paraId="1F300B2B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（3）开展学生健康体检；</w:t>
            </w:r>
          </w:p>
          <w:p w14:paraId="60AECEF4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①下发年度学生体检通知</w:t>
            </w: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3C83C3A8">
            <w:pPr>
              <w:pStyle w:val="5"/>
              <w:spacing w:before="145" w:line="219" w:lineRule="auto"/>
              <w:ind w:firstLine="238" w:firstLineChars="100"/>
              <w:rPr>
                <w:rFonts w:hint="default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②具体开展情况；</w:t>
            </w:r>
          </w:p>
          <w:p w14:paraId="5CDE6A5D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③能够提供学校或辖区体检分析报告，掌握学校或辖区学生健康状况，根据现状做出干预；</w:t>
            </w:r>
          </w:p>
          <w:p w14:paraId="148ED1D3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④学校对学生个人健康体检结果进行分析和反馈；</w:t>
            </w:r>
          </w:p>
          <w:p w14:paraId="2FCD65E0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（4）开展职工体检；</w:t>
            </w:r>
          </w:p>
          <w:p w14:paraId="3F185D32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①下发年度单位/企业体检通知</w:t>
            </w:r>
          </w:p>
          <w:p w14:paraId="6E0C8C55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②体检落实情况</w:t>
            </w:r>
          </w:p>
          <w:p w14:paraId="3D687926">
            <w:pPr>
              <w:pStyle w:val="5"/>
              <w:spacing w:before="143" w:line="275" w:lineRule="auto"/>
              <w:ind w:firstLine="238" w:firstLineChars="100"/>
              <w:rPr>
                <w:spacing w:val="-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③能够提供单位体检分析报告，掌握单位健康状况，根据现状做出干预</w:t>
            </w: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</w:tc>
      </w:tr>
      <w:tr w14:paraId="77418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pct"/>
          <w:trHeight w:val="2986" w:hRule="atLeast"/>
        </w:trPr>
        <w:tc>
          <w:tcPr>
            <w:tcW w:w="588" w:type="pct"/>
            <w:gridSpan w:val="2"/>
            <w:vMerge w:val="restart"/>
            <w:tcBorders>
              <w:bottom w:val="nil"/>
            </w:tcBorders>
            <w:vAlign w:val="top"/>
          </w:tcPr>
          <w:p w14:paraId="02108294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31" w:type="pct"/>
            <w:gridSpan w:val="2"/>
            <w:vAlign w:val="top"/>
          </w:tcPr>
          <w:p w14:paraId="67C5A0CD">
            <w:pPr>
              <w:spacing w:line="302" w:lineRule="auto"/>
              <w:rPr>
                <w:rFonts w:ascii="Arial"/>
                <w:sz w:val="21"/>
                <w:highlight w:val="none"/>
              </w:rPr>
            </w:pPr>
          </w:p>
          <w:p w14:paraId="157BC672">
            <w:pPr>
              <w:spacing w:line="303" w:lineRule="auto"/>
              <w:rPr>
                <w:rFonts w:ascii="Arial"/>
                <w:sz w:val="21"/>
                <w:highlight w:val="none"/>
              </w:rPr>
            </w:pPr>
          </w:p>
          <w:p w14:paraId="0837703E">
            <w:pPr>
              <w:spacing w:line="303" w:lineRule="auto"/>
              <w:rPr>
                <w:rFonts w:ascii="Arial"/>
                <w:sz w:val="21"/>
                <w:highlight w:val="none"/>
              </w:rPr>
            </w:pPr>
          </w:p>
          <w:p w14:paraId="0B54DF06">
            <w:pPr>
              <w:pStyle w:val="5"/>
              <w:spacing w:before="82" w:line="316" w:lineRule="auto"/>
              <w:ind w:left="11" w:firstLine="489"/>
              <w:jc w:val="both"/>
              <w:rPr>
                <w:highlight w:val="none"/>
              </w:rPr>
            </w:pPr>
            <w:r>
              <w:rPr>
                <w:spacing w:val="-18"/>
                <w:highlight w:val="none"/>
              </w:rPr>
              <w:t>7.开展</w:t>
            </w:r>
            <w:r>
              <w:rPr>
                <w:spacing w:val="-17"/>
                <w:highlight w:val="none"/>
              </w:rPr>
              <w:t>高血压、糖尿病、慢</w:t>
            </w:r>
            <w:r>
              <w:rPr>
                <w:spacing w:val="-13"/>
                <w:highlight w:val="none"/>
              </w:rPr>
              <w:t>阻</w:t>
            </w:r>
            <w:r>
              <w:rPr>
                <w:spacing w:val="-18"/>
                <w:highlight w:val="none"/>
              </w:rPr>
              <w:t>肺重点慢</w:t>
            </w:r>
            <w:r>
              <w:rPr>
                <w:spacing w:val="-17"/>
                <w:highlight w:val="none"/>
              </w:rPr>
              <w:t>性病规范化管理，不断</w:t>
            </w:r>
            <w:r>
              <w:rPr>
                <w:spacing w:val="-13"/>
                <w:highlight w:val="none"/>
              </w:rPr>
              <w:t>提</w:t>
            </w:r>
            <w:r>
              <w:rPr>
                <w:spacing w:val="-18"/>
                <w:highlight w:val="none"/>
              </w:rPr>
              <w:t>升知晓率</w:t>
            </w:r>
            <w:r>
              <w:rPr>
                <w:spacing w:val="-17"/>
                <w:highlight w:val="none"/>
              </w:rPr>
              <w:t>、治疗率和控制率。加</w:t>
            </w:r>
            <w:r>
              <w:rPr>
                <w:spacing w:val="-13"/>
                <w:highlight w:val="none"/>
              </w:rPr>
              <w:t>强</w:t>
            </w:r>
            <w:r>
              <w:rPr>
                <w:spacing w:val="-1"/>
                <w:highlight w:val="none"/>
              </w:rPr>
              <w:t>癌症早筛早诊早治。</w:t>
            </w:r>
          </w:p>
        </w:tc>
        <w:tc>
          <w:tcPr>
            <w:tcW w:w="3277" w:type="pct"/>
            <w:gridSpan w:val="3"/>
            <w:vAlign w:val="top"/>
          </w:tcPr>
          <w:p w14:paraId="26BFBB47">
            <w:pPr>
              <w:pStyle w:val="5"/>
              <w:spacing w:before="65" w:line="222" w:lineRule="auto"/>
              <w:ind w:left="506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5"/>
                <w:highlight w:val="none"/>
                <w:lang w:val="en-US" w:eastAsia="zh-CN"/>
              </w:rPr>
              <w:t>1.</w:t>
            </w:r>
            <w:r>
              <w:rPr>
                <w:b/>
                <w:bCs/>
                <w:spacing w:val="5"/>
                <w:highlight w:val="none"/>
              </w:rPr>
              <w:t>要点</w:t>
            </w:r>
          </w:p>
          <w:p w14:paraId="0765BFDF">
            <w:pPr>
              <w:pStyle w:val="5"/>
              <w:spacing w:before="157" w:line="324" w:lineRule="auto"/>
              <w:ind w:firstLine="242" w:firstLineChars="100"/>
              <w:rPr>
                <w:highlight w:val="none"/>
              </w:rPr>
            </w:pPr>
            <w:r>
              <w:rPr>
                <w:spacing w:val="-4"/>
                <w:highlight w:val="none"/>
              </w:rPr>
              <w:t>重点关注高血压、2型糖尿病的控制率、70岁以下人群慢性呼吸系统疾病死亡率和总体癌症</w:t>
            </w:r>
            <w:r>
              <w:rPr>
                <w:spacing w:val="-1"/>
                <w:highlight w:val="none"/>
              </w:rPr>
              <w:t>5年生存率。</w:t>
            </w:r>
          </w:p>
          <w:p w14:paraId="589C961A">
            <w:pPr>
              <w:pStyle w:val="5"/>
              <w:spacing w:line="219" w:lineRule="auto"/>
              <w:ind w:left="506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7"/>
                <w:highlight w:val="none"/>
                <w:lang w:val="en-US" w:eastAsia="zh-CN"/>
              </w:rPr>
              <w:t>2.</w:t>
            </w:r>
            <w:r>
              <w:rPr>
                <w:b/>
                <w:bCs/>
                <w:spacing w:val="7"/>
                <w:highlight w:val="none"/>
              </w:rPr>
              <w:t>说明</w:t>
            </w:r>
          </w:p>
          <w:p w14:paraId="7C0135C8">
            <w:pPr>
              <w:pStyle w:val="5"/>
              <w:spacing w:before="145" w:line="274" w:lineRule="auto"/>
              <w:ind w:right="223" w:firstLine="250" w:firstLineChars="100"/>
              <w:rPr>
                <w:highlight w:val="none"/>
              </w:rPr>
            </w:pPr>
            <w:r>
              <w:rPr>
                <w:highlight w:val="none"/>
              </w:rPr>
              <w:t>(1)高血压控制率：18岁及以上的高血压患者中，通过治疗和管理，血压得到有效控制(SBP&lt;140mmHg和DBP&lt;90mmHg)所占的比例。</w:t>
            </w:r>
          </w:p>
          <w:p w14:paraId="1B5460E2">
            <w:pPr>
              <w:pStyle w:val="5"/>
              <w:spacing w:before="138" w:line="274" w:lineRule="auto"/>
              <w:ind w:right="241" w:firstLine="250" w:firstLineChars="100"/>
              <w:rPr>
                <w:spacing w:val="-1"/>
                <w:highlight w:val="none"/>
              </w:rPr>
            </w:pPr>
            <w:r>
              <w:rPr>
                <w:highlight w:val="none"/>
              </w:rPr>
              <w:t>(2)糖尿病控制率：18岁及以上的糖尿病患者中，通过治疗和管理，将空腹血糖控制在</w:t>
            </w:r>
            <w:r>
              <w:rPr>
                <w:spacing w:val="-1"/>
                <w:highlight w:val="none"/>
              </w:rPr>
              <w:t>7.0mmol/L及以下的患者比例。</w:t>
            </w:r>
          </w:p>
          <w:p w14:paraId="05DC5278">
            <w:pPr>
              <w:pStyle w:val="5"/>
              <w:spacing w:before="61" w:line="222" w:lineRule="auto"/>
              <w:ind w:left="267"/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3.建议：</w:t>
            </w:r>
          </w:p>
          <w:p w14:paraId="47B056EC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（1）提供高血压、糖尿病</w:t>
            </w: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、慢阻肺患者健康管理率、规范管理率（来源基本公卫）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5BEF9EDE">
            <w:pPr>
              <w:pStyle w:val="5"/>
              <w:spacing w:before="145" w:line="219" w:lineRule="auto"/>
              <w:ind w:firstLine="238" w:firstLineChars="100"/>
              <w:rPr>
                <w:rFonts w:hint="default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（2）提供高血压、糖尿病</w:t>
            </w: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、慢阻肺患者知晓率、治疗率和控制率（来源慢危调查），率需进行标化</w:t>
            </w:r>
          </w:p>
          <w:p w14:paraId="3DC3B822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（3）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开展高血压、糖尿病、慢阻肺重点慢性病健康管理的具体有效做法。</w:t>
            </w:r>
          </w:p>
          <w:p w14:paraId="667E5879">
            <w:pPr>
              <w:pStyle w:val="5"/>
              <w:spacing w:before="145" w:line="219" w:lineRule="auto"/>
              <w:ind w:firstLine="238" w:firstLineChars="100"/>
              <w:rPr>
                <w:rFonts w:hint="default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（4）提供总体癌症5年生存率，没有率的提供相关癌症防控工作情况。</w:t>
            </w:r>
          </w:p>
          <w:p w14:paraId="14EA030F">
            <w:pPr>
              <w:pStyle w:val="5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139" w:line="290" w:lineRule="auto"/>
              <w:ind w:right="266" w:rightChars="0" w:firstLine="249" w:firstLineChars="100"/>
              <w:jc w:val="left"/>
              <w:textAlignment w:val="baseline"/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4.动态系统：</w:t>
            </w:r>
          </w:p>
          <w:p w14:paraId="3F9C3C51">
            <w:pPr>
              <w:pStyle w:val="5"/>
              <w:spacing w:before="145" w:line="219" w:lineRule="auto"/>
              <w:ind w:firstLine="238" w:firstLineChars="100"/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（1）</w:t>
            </w: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开展慢性病多病共管工作的情况；</w:t>
            </w:r>
          </w:p>
          <w:p w14:paraId="2D0FDE6F">
            <w:pPr>
              <w:pStyle w:val="5"/>
              <w:spacing w:before="145" w:line="219" w:lineRule="auto"/>
              <w:ind w:firstLine="238" w:firstLineChars="100"/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（2）开展慢性病高危人群风险评估和干预指导情况；</w:t>
            </w:r>
          </w:p>
          <w:p w14:paraId="5F61FE5C">
            <w:pPr>
              <w:pStyle w:val="5"/>
              <w:spacing w:before="145" w:line="219" w:lineRule="auto"/>
              <w:ind w:firstLine="238" w:firstLineChars="100"/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（3）家庭医生签约服务情况；</w:t>
            </w:r>
          </w:p>
          <w:p w14:paraId="7CF3F47B">
            <w:pPr>
              <w:pStyle w:val="5"/>
              <w:spacing w:before="145" w:line="219" w:lineRule="auto"/>
              <w:ind w:firstLine="238" w:firstLineChars="100"/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（4）分级诊疗开展情况，是否依托信息平台实现；</w:t>
            </w:r>
          </w:p>
          <w:p w14:paraId="03726857">
            <w:pPr>
              <w:pStyle w:val="5"/>
              <w:spacing w:before="138" w:line="274" w:lineRule="auto"/>
              <w:ind w:right="241" w:firstLine="238" w:firstLineChars="100"/>
              <w:rPr>
                <w:spacing w:val="-1"/>
                <w:highlight w:val="none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（5）有效引进社会资本参与慢性病防控。</w:t>
            </w:r>
          </w:p>
        </w:tc>
      </w:tr>
      <w:tr w14:paraId="264F8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pct"/>
          <w:trHeight w:val="2207" w:hRule="atLeast"/>
        </w:trPr>
        <w:tc>
          <w:tcPr>
            <w:tcW w:w="588" w:type="pct"/>
            <w:gridSpan w:val="2"/>
            <w:vMerge w:val="continue"/>
            <w:tcBorders>
              <w:top w:val="nil"/>
            </w:tcBorders>
            <w:vAlign w:val="top"/>
          </w:tcPr>
          <w:p w14:paraId="0F4B5D21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31" w:type="pct"/>
            <w:gridSpan w:val="2"/>
            <w:vAlign w:val="top"/>
          </w:tcPr>
          <w:p w14:paraId="106EF813">
            <w:pPr>
              <w:spacing w:line="449" w:lineRule="auto"/>
              <w:rPr>
                <w:rFonts w:ascii="Arial"/>
                <w:sz w:val="21"/>
                <w:highlight w:val="none"/>
              </w:rPr>
            </w:pPr>
          </w:p>
          <w:p w14:paraId="56CB21D1">
            <w:pPr>
              <w:pStyle w:val="5"/>
              <w:spacing w:before="81" w:line="327" w:lineRule="auto"/>
              <w:ind w:left="11" w:firstLine="457"/>
              <w:jc w:val="both"/>
              <w:rPr>
                <w:highlight w:val="none"/>
              </w:rPr>
            </w:pPr>
            <w:r>
              <w:rPr>
                <w:spacing w:val="-16"/>
                <w:highlight w:val="none"/>
              </w:rPr>
              <w:t>8.中西医并重，发挥中医药在</w:t>
            </w:r>
            <w:r>
              <w:rPr>
                <w:spacing w:val="-17"/>
                <w:highlight w:val="none"/>
              </w:rPr>
              <w:t>慢性病预防、保健、诊疗、康复中</w:t>
            </w:r>
            <w:r>
              <w:rPr>
                <w:spacing w:val="-2"/>
                <w:highlight w:val="none"/>
              </w:rPr>
              <w:t>的作用。</w:t>
            </w:r>
          </w:p>
        </w:tc>
        <w:tc>
          <w:tcPr>
            <w:tcW w:w="3277" w:type="pct"/>
            <w:gridSpan w:val="3"/>
            <w:vAlign w:val="top"/>
          </w:tcPr>
          <w:p w14:paraId="38D3CEFC">
            <w:pPr>
              <w:pStyle w:val="5"/>
              <w:spacing w:before="104" w:line="222" w:lineRule="auto"/>
              <w:ind w:left="506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5"/>
                <w:highlight w:val="none"/>
                <w:lang w:val="en-US" w:eastAsia="zh-CN"/>
              </w:rPr>
              <w:t>1.</w:t>
            </w:r>
            <w:r>
              <w:rPr>
                <w:b/>
                <w:bCs/>
                <w:spacing w:val="5"/>
                <w:highlight w:val="none"/>
              </w:rPr>
              <w:t>要点</w:t>
            </w:r>
          </w:p>
          <w:p w14:paraId="46ACDA80">
            <w:pPr>
              <w:pStyle w:val="5"/>
              <w:spacing w:before="169" w:line="219" w:lineRule="auto"/>
              <w:ind w:left="503"/>
              <w:rPr>
                <w:highlight w:val="none"/>
              </w:rPr>
            </w:pPr>
            <w:r>
              <w:rPr>
                <w:highlight w:val="none"/>
              </w:rPr>
              <w:t>老年人中医药健康管理率。</w:t>
            </w:r>
          </w:p>
          <w:p w14:paraId="6DF76CDB">
            <w:pPr>
              <w:pStyle w:val="5"/>
              <w:spacing w:before="99" w:line="219" w:lineRule="auto"/>
              <w:ind w:left="506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7"/>
                <w:highlight w:val="none"/>
                <w:lang w:val="en-US" w:eastAsia="zh-CN"/>
              </w:rPr>
              <w:t>2.</w:t>
            </w:r>
            <w:r>
              <w:rPr>
                <w:b/>
                <w:bCs/>
                <w:spacing w:val="7"/>
                <w:highlight w:val="none"/>
              </w:rPr>
              <w:t>说明</w:t>
            </w:r>
          </w:p>
          <w:p w14:paraId="519C7E4D">
            <w:pPr>
              <w:pStyle w:val="5"/>
              <w:spacing w:before="136" w:line="293" w:lineRule="auto"/>
              <w:ind w:left="13" w:firstLine="489"/>
              <w:rPr>
                <w:spacing w:val="-1"/>
                <w:highlight w:val="none"/>
              </w:rPr>
            </w:pPr>
            <w:r>
              <w:rPr>
                <w:spacing w:val="-1"/>
                <w:highlight w:val="none"/>
              </w:rPr>
              <w:t>老年人中医药健康管理率=接受中医药健康管理服务65岁及以上居民数/辖区内65</w:t>
            </w:r>
            <w:r>
              <w:rPr>
                <w:spacing w:val="-2"/>
                <w:highlight w:val="none"/>
              </w:rPr>
              <w:t>岁及以上</w:t>
            </w:r>
            <w:r>
              <w:rPr>
                <w:spacing w:val="-1"/>
                <w:highlight w:val="none"/>
              </w:rPr>
              <w:t>常住居民数×100%。</w:t>
            </w:r>
          </w:p>
          <w:p w14:paraId="662F88B5">
            <w:pPr>
              <w:pStyle w:val="5"/>
              <w:spacing w:before="61" w:line="222" w:lineRule="auto"/>
              <w:ind w:left="267" w:firstLine="249" w:firstLineChars="100"/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3.建议：</w:t>
            </w:r>
          </w:p>
          <w:p w14:paraId="5C79ED2D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（1）提供老年人中医药健康管理率；</w:t>
            </w:r>
          </w:p>
          <w:p w14:paraId="1E7E27FA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（2）发挥中医药在慢性病预防、保健、诊疗、康复中作用的具体做法。</w:t>
            </w:r>
          </w:p>
          <w:p w14:paraId="17A0B12C">
            <w:pPr>
              <w:pStyle w:val="5"/>
              <w:spacing w:before="145" w:line="219" w:lineRule="auto"/>
              <w:ind w:firstLine="498" w:firstLineChars="2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4.动态系统：</w:t>
            </w:r>
          </w:p>
          <w:p w14:paraId="653E4F2B">
            <w:pPr>
              <w:pStyle w:val="5"/>
              <w:spacing w:before="145" w:line="219" w:lineRule="auto"/>
              <w:ind w:firstLine="238" w:firstLineChars="100"/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（1）推广使用中医防治慢性病适宜技术情况；</w:t>
            </w:r>
          </w:p>
          <w:p w14:paraId="130E28CC">
            <w:pPr>
              <w:pStyle w:val="5"/>
              <w:spacing w:before="145" w:line="219" w:lineRule="auto"/>
              <w:ind w:firstLine="238" w:firstLineChars="100"/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（2）设有中医综合服务区的基层医疗机构情况；</w:t>
            </w:r>
          </w:p>
          <w:p w14:paraId="4A30409F">
            <w:pPr>
              <w:pStyle w:val="5"/>
              <w:spacing w:before="136" w:line="293" w:lineRule="auto"/>
              <w:ind w:firstLine="238" w:firstLineChars="100"/>
              <w:rPr>
                <w:spacing w:val="-1"/>
                <w:highlight w:val="none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（1）实施心脑血管疾病、癌症等重点慢性病康复管理服务情况。</w:t>
            </w:r>
          </w:p>
        </w:tc>
      </w:tr>
      <w:tr w14:paraId="7C3E5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pct"/>
          <w:trHeight w:val="552" w:hRule="atLeast"/>
        </w:trPr>
        <w:tc>
          <w:tcPr>
            <w:tcW w:w="588" w:type="pct"/>
            <w:gridSpan w:val="2"/>
            <w:vAlign w:val="top"/>
          </w:tcPr>
          <w:p w14:paraId="73B37048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3B25C541">
            <w:pPr>
              <w:spacing w:line="299" w:lineRule="auto"/>
              <w:rPr>
                <w:rFonts w:ascii="Arial"/>
                <w:sz w:val="21"/>
                <w:highlight w:val="none"/>
              </w:rPr>
            </w:pPr>
          </w:p>
          <w:p w14:paraId="6D0B3A5A">
            <w:pPr>
              <w:spacing w:line="300" w:lineRule="auto"/>
              <w:rPr>
                <w:rFonts w:ascii="Arial"/>
                <w:sz w:val="21"/>
                <w:highlight w:val="none"/>
              </w:rPr>
            </w:pPr>
          </w:p>
          <w:p w14:paraId="11513F74">
            <w:pPr>
              <w:pStyle w:val="5"/>
              <w:spacing w:before="81" w:line="218" w:lineRule="auto"/>
              <w:ind w:left="205"/>
              <w:rPr>
                <w:highlight w:val="none"/>
              </w:rPr>
            </w:pPr>
            <w:r>
              <w:rPr>
                <w:spacing w:val="1"/>
                <w:highlight w:val="none"/>
              </w:rPr>
              <w:t>五、监测评估</w:t>
            </w:r>
          </w:p>
        </w:tc>
        <w:tc>
          <w:tcPr>
            <w:tcW w:w="1131" w:type="pct"/>
            <w:gridSpan w:val="2"/>
            <w:vAlign w:val="top"/>
          </w:tcPr>
          <w:p w14:paraId="0B368DA7">
            <w:pPr>
              <w:spacing w:line="243" w:lineRule="auto"/>
              <w:rPr>
                <w:rFonts w:ascii="Arial"/>
                <w:sz w:val="21"/>
                <w:highlight w:val="none"/>
              </w:rPr>
            </w:pPr>
          </w:p>
          <w:p w14:paraId="02B90E0C">
            <w:pPr>
              <w:pStyle w:val="5"/>
              <w:spacing w:before="82" w:line="329" w:lineRule="auto"/>
              <w:ind w:left="11" w:firstLine="457"/>
              <w:jc w:val="both"/>
              <w:rPr>
                <w:highlight w:val="none"/>
              </w:rPr>
            </w:pPr>
            <w:r>
              <w:rPr>
                <w:highlight w:val="none"/>
              </w:rPr>
              <w:t>9.规范开展覆盖辖区慢性病</w:t>
            </w:r>
            <w:r>
              <w:rPr>
                <w:spacing w:val="-18"/>
                <w:highlight w:val="none"/>
              </w:rPr>
              <w:t>及相关危险因素监测，掌握辖区重</w:t>
            </w:r>
            <w:r>
              <w:rPr>
                <w:spacing w:val="-17"/>
                <w:highlight w:val="none"/>
              </w:rPr>
              <w:t>点慢性病状况、影响因素和疾病负</w:t>
            </w:r>
            <w:r>
              <w:rPr>
                <w:spacing w:val="-2"/>
                <w:highlight w:val="none"/>
              </w:rPr>
              <w:t>担。</w:t>
            </w:r>
          </w:p>
        </w:tc>
        <w:tc>
          <w:tcPr>
            <w:tcW w:w="3277" w:type="pct"/>
            <w:gridSpan w:val="3"/>
            <w:vAlign w:val="top"/>
          </w:tcPr>
          <w:p w14:paraId="714A9839">
            <w:pPr>
              <w:pStyle w:val="5"/>
              <w:spacing w:before="107" w:line="222" w:lineRule="auto"/>
              <w:ind w:left="506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5"/>
                <w:highlight w:val="none"/>
                <w:lang w:val="en-US" w:eastAsia="zh-CN"/>
              </w:rPr>
              <w:t>1.</w:t>
            </w:r>
            <w:r>
              <w:rPr>
                <w:b/>
                <w:bCs/>
                <w:spacing w:val="5"/>
                <w:highlight w:val="none"/>
              </w:rPr>
              <w:t>要点</w:t>
            </w:r>
          </w:p>
          <w:p w14:paraId="5DE898C2">
            <w:pPr>
              <w:pStyle w:val="5"/>
              <w:spacing w:before="129" w:line="327" w:lineRule="auto"/>
              <w:ind w:firstLine="236" w:firstLineChars="100"/>
              <w:rPr>
                <w:highlight w:val="none"/>
              </w:rPr>
            </w:pPr>
            <w:r>
              <w:rPr>
                <w:spacing w:val="-7"/>
                <w:highlight w:val="none"/>
              </w:rPr>
              <w:t>开展全人群的死因监测、慢性病和营养监测、心脑血管事件监测、慢阻肺疾</w:t>
            </w:r>
            <w:r>
              <w:rPr>
                <w:spacing w:val="-8"/>
                <w:highlight w:val="none"/>
              </w:rPr>
              <w:t>病监测、肿瘤随</w:t>
            </w:r>
            <w:r>
              <w:rPr>
                <w:highlight w:val="none"/>
              </w:rPr>
              <w:t>访登记等重大慢性病登记报告达到基本技术指标。</w:t>
            </w:r>
          </w:p>
          <w:p w14:paraId="089E3A6E">
            <w:pPr>
              <w:pStyle w:val="5"/>
              <w:spacing w:line="219" w:lineRule="auto"/>
              <w:ind w:left="506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7"/>
                <w:highlight w:val="none"/>
                <w:lang w:val="en-US" w:eastAsia="zh-CN"/>
              </w:rPr>
              <w:t>2.</w:t>
            </w:r>
            <w:r>
              <w:rPr>
                <w:b/>
                <w:bCs/>
                <w:spacing w:val="7"/>
                <w:highlight w:val="none"/>
              </w:rPr>
              <w:t>说明</w:t>
            </w:r>
          </w:p>
          <w:p w14:paraId="0C4D198C">
            <w:pPr>
              <w:pStyle w:val="5"/>
              <w:spacing w:before="134" w:line="218" w:lineRule="auto"/>
              <w:ind w:firstLine="250" w:firstLineChars="100"/>
              <w:rPr>
                <w:highlight w:val="none"/>
              </w:rPr>
            </w:pPr>
            <w:r>
              <w:rPr>
                <w:highlight w:val="none"/>
              </w:rPr>
              <w:t>每项监测要求有监测方案、质量控制、数据库和规范的分析报告。</w:t>
            </w:r>
          </w:p>
          <w:p w14:paraId="79CAECE7">
            <w:pPr>
              <w:pStyle w:val="5"/>
              <w:spacing w:before="61" w:line="222" w:lineRule="auto"/>
              <w:ind w:left="267"/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3.建议：</w:t>
            </w:r>
          </w:p>
          <w:p w14:paraId="1D1CA290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（1）死因监测；</w:t>
            </w:r>
          </w:p>
          <w:p w14:paraId="2D549A77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①从申报年度起，每年撰写上一年度死因分析报告，包括背景、资料来源、结果、发现与建议等内容，分析指标必须包括三大死因死亡率及构成，主要疾病的死亡率、标化死亡率、顺位，四类主要慢性病死亡率、标化死亡率、早死概率，人均期望寿命等指标；</w:t>
            </w:r>
          </w:p>
          <w:p w14:paraId="5A590DC6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②各年度数据库；</w:t>
            </w:r>
          </w:p>
          <w:p w14:paraId="0C30DEAB">
            <w:pPr>
              <w:pStyle w:val="5"/>
              <w:spacing w:before="145" w:line="219" w:lineRule="auto"/>
              <w:ind w:firstLine="238" w:firstLineChars="100"/>
              <w:rPr>
                <w:rFonts w:hint="default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③每年死因登记报告质量要求：报告死亡率要达到600/10万及以上，开展漏报调查并根据全省或当地漏报率对粗死亡率进行补充调整，标化死亡率采用2010年第六次全国人口进行标化；</w:t>
            </w:r>
          </w:p>
          <w:p w14:paraId="357B2418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（2）慢性病与营养监测；</w:t>
            </w:r>
          </w:p>
          <w:p w14:paraId="60D01003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①制定慢性病与营养监测的监测方案，方案目标清晰、工作内容及方法完整、质量控制合理；</w:t>
            </w:r>
          </w:p>
          <w:p w14:paraId="041B1335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②各项监测数据库；</w:t>
            </w:r>
          </w:p>
          <w:p w14:paraId="16954C5F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③各项分析报告规范，有详细的分析方法、质量控制措施、结果、存在问题及建议措施；</w:t>
            </w:r>
          </w:p>
          <w:p w14:paraId="2756F60F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（3）心脑血管事件监测</w:t>
            </w:r>
          </w:p>
          <w:p w14:paraId="5E044EC9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①制定心脑血管事件报告的监测方案，方案目标清晰、工作内容及方法完整、质量控制合理；</w:t>
            </w:r>
          </w:p>
          <w:p w14:paraId="2A4182D4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②各项监测数据库；</w:t>
            </w:r>
          </w:p>
          <w:p w14:paraId="5C55FC12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③各项分析报告规范，有详细的分析方法、质量控制措施、结果、存在问题及建议措施；</w:t>
            </w:r>
          </w:p>
          <w:p w14:paraId="75687478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（4）慢性阻塞性肺疾病监测</w:t>
            </w:r>
          </w:p>
          <w:p w14:paraId="58C4F030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①制定慢性阻塞性肺部疾病病例报告的监测方案，方案目标清晰、工作内容及方法完整、质量控制合理；</w:t>
            </w:r>
          </w:p>
          <w:p w14:paraId="75744D3E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②各项监测数据库；</w:t>
            </w:r>
          </w:p>
          <w:p w14:paraId="0C84A0E5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③各项分析报告规范，有详细的分析方法、质量控制措施、结果、存在问题及建议措施；</w:t>
            </w:r>
          </w:p>
          <w:p w14:paraId="0C3829A2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（5）肿瘤随访登记</w:t>
            </w:r>
          </w:p>
          <w:p w14:paraId="579E9AAF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①从申报年度起，每年撰写三年前的肿瘤登记分析报告；</w:t>
            </w:r>
          </w:p>
          <w:p w14:paraId="5ED11FE5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②分析报告要求：发病率：175/10万，死亡/发病=0.6-0.8，病理诊断率&gt;=45%, DCO%在0-15%之间。</w:t>
            </w:r>
          </w:p>
          <w:p w14:paraId="526C259C">
            <w:pPr>
              <w:pStyle w:val="5"/>
              <w:spacing w:before="145" w:line="219" w:lineRule="auto"/>
              <w:ind w:firstLine="249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4.动态系统：</w:t>
            </w:r>
          </w:p>
          <w:p w14:paraId="40815FF2">
            <w:pPr>
              <w:pStyle w:val="5"/>
              <w:spacing w:before="145" w:line="219" w:lineRule="auto"/>
              <w:ind w:firstLine="238" w:firstLineChars="100"/>
              <w:rPr>
                <w:rFonts w:hint="default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（1）人均期望寿命；</w:t>
            </w:r>
          </w:p>
          <w:p w14:paraId="2BB537AA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（2）心脑血管疾病标化死亡率、70岁以下人群呼吸系统疾病标化死亡率；</w:t>
            </w:r>
          </w:p>
          <w:p w14:paraId="0FAD30C4">
            <w:pPr>
              <w:pStyle w:val="5"/>
              <w:spacing w:before="145" w:line="219" w:lineRule="auto"/>
              <w:ind w:firstLine="238" w:firstLineChars="100"/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（3）是否实现重点慢性病监测数据互联互通；</w:t>
            </w:r>
          </w:p>
          <w:p w14:paraId="2A758836">
            <w:pPr>
              <w:pStyle w:val="5"/>
              <w:spacing w:before="145" w:line="219" w:lineRule="auto"/>
              <w:ind w:firstLine="238" w:firstLineChars="100"/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（4）高血压、糖尿病、血脂异常、慢阻肺患病率、收缩压、舒张压均值，空腹血糖均值，TG、TC、LDL-C、HDL-C均值；</w:t>
            </w:r>
          </w:p>
          <w:p w14:paraId="0DBEF27E">
            <w:pPr>
              <w:pStyle w:val="5"/>
              <w:spacing w:before="134" w:line="218" w:lineRule="auto"/>
              <w:ind w:firstLine="238" w:firstLineChars="100"/>
              <w:rPr>
                <w:highlight w:val="none"/>
              </w:rPr>
            </w:pPr>
            <w:r>
              <w:rPr>
                <w:rFonts w:hint="eastAsia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（5）社会影响因素状况调查报告结果用于指引、评估示范区建设及慢性病综合防控工作计划的制定。</w:t>
            </w:r>
          </w:p>
        </w:tc>
      </w:tr>
      <w:tr w14:paraId="1E1E0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584" w:type="pct"/>
            <w:vAlign w:val="top"/>
          </w:tcPr>
          <w:p w14:paraId="742E0A45">
            <w:pPr>
              <w:rPr>
                <w:rFonts w:ascii="Arial"/>
                <w:sz w:val="21"/>
                <w:highlight w:val="none"/>
              </w:rPr>
            </w:pPr>
          </w:p>
        </w:tc>
        <w:tc>
          <w:tcPr>
            <w:tcW w:w="1134" w:type="pct"/>
            <w:gridSpan w:val="3"/>
            <w:vAlign w:val="top"/>
          </w:tcPr>
          <w:p w14:paraId="0F4F1E3C">
            <w:pPr>
              <w:pStyle w:val="5"/>
              <w:spacing w:before="115" w:line="287" w:lineRule="auto"/>
              <w:ind w:left="10" w:firstLine="538"/>
              <w:rPr>
                <w:highlight w:val="none"/>
              </w:rPr>
            </w:pPr>
            <w:r>
              <w:rPr>
                <w:spacing w:val="-11"/>
                <w:highlight w:val="none"/>
              </w:rPr>
              <w:t>10.开展慢性病综合防控，降</w:t>
            </w:r>
            <w:r>
              <w:rPr>
                <w:spacing w:val="-1"/>
                <w:highlight w:val="none"/>
              </w:rPr>
              <w:t>低重大慢性病过早死亡率。</w:t>
            </w:r>
          </w:p>
        </w:tc>
        <w:tc>
          <w:tcPr>
            <w:tcW w:w="3280" w:type="pct"/>
            <w:gridSpan w:val="4"/>
            <w:vAlign w:val="top"/>
          </w:tcPr>
          <w:p w14:paraId="7ABA6943">
            <w:pPr>
              <w:pStyle w:val="5"/>
              <w:spacing w:before="95" w:line="222" w:lineRule="auto"/>
              <w:ind w:firstLine="261" w:firstLineChars="100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5"/>
                <w:highlight w:val="none"/>
                <w:lang w:val="en-US" w:eastAsia="zh-CN"/>
              </w:rPr>
              <w:t>1.</w:t>
            </w:r>
            <w:r>
              <w:rPr>
                <w:b/>
                <w:bCs/>
                <w:spacing w:val="5"/>
                <w:highlight w:val="none"/>
              </w:rPr>
              <w:t>要点</w:t>
            </w:r>
          </w:p>
          <w:p w14:paraId="1C079D9A">
            <w:pPr>
              <w:pStyle w:val="5"/>
              <w:spacing w:before="169" w:line="219" w:lineRule="auto"/>
              <w:ind w:firstLine="250" w:firstLineChars="100"/>
              <w:rPr>
                <w:highlight w:val="none"/>
              </w:rPr>
            </w:pPr>
            <w:r>
              <w:rPr>
                <w:highlight w:val="none"/>
              </w:rPr>
              <w:t>重大慢性病过早死亡率。</w:t>
            </w:r>
          </w:p>
          <w:p w14:paraId="2489329E">
            <w:pPr>
              <w:pStyle w:val="5"/>
              <w:spacing w:before="61" w:line="222" w:lineRule="auto"/>
              <w:ind w:left="267"/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pacing w:val="4"/>
                <w:sz w:val="24"/>
                <w:szCs w:val="24"/>
                <w:highlight w:val="none"/>
                <w:lang w:val="en-US" w:eastAsia="zh-CN"/>
              </w:rPr>
              <w:t>2.建议：</w:t>
            </w:r>
          </w:p>
          <w:p w14:paraId="62E531E5">
            <w:pPr>
              <w:pStyle w:val="5"/>
              <w:spacing w:before="145" w:line="219" w:lineRule="auto"/>
              <w:ind w:firstLine="238" w:firstLineChars="100"/>
              <w:rPr>
                <w:rFonts w:hint="default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（1）提供每年重大慢性病过早死亡率，新建至少3年，复审至少5年；</w:t>
            </w:r>
          </w:p>
          <w:p w14:paraId="7FE9B4C4">
            <w:pPr>
              <w:pStyle w:val="5"/>
              <w:spacing w:before="145" w:line="219" w:lineRule="auto"/>
              <w:ind w:firstLine="238" w:firstLineChars="100"/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（2）重大慢性病过早死亡率呈下降趋势；</w:t>
            </w:r>
          </w:p>
          <w:p w14:paraId="4E4FC4F0">
            <w:pPr>
              <w:pStyle w:val="5"/>
              <w:spacing w:before="169" w:line="219" w:lineRule="auto"/>
              <w:ind w:firstLine="238" w:firstLineChars="100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（3）导致下降/上升的原因分析及具体做法。</w:t>
            </w:r>
          </w:p>
        </w:tc>
      </w:tr>
      <w:tr w14:paraId="332E7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584" w:type="pct"/>
            <w:vAlign w:val="top"/>
          </w:tcPr>
          <w:p w14:paraId="31A1A4F9">
            <w:pPr>
              <w:spacing w:line="247" w:lineRule="auto"/>
              <w:rPr>
                <w:rFonts w:ascii="Arial"/>
                <w:sz w:val="21"/>
                <w:highlight w:val="none"/>
              </w:rPr>
            </w:pPr>
          </w:p>
          <w:p w14:paraId="36C506A8">
            <w:pPr>
              <w:spacing w:line="247" w:lineRule="auto"/>
              <w:rPr>
                <w:rFonts w:ascii="Arial"/>
                <w:sz w:val="21"/>
                <w:highlight w:val="none"/>
              </w:rPr>
            </w:pPr>
          </w:p>
          <w:p w14:paraId="0F0F63EE">
            <w:pPr>
              <w:spacing w:line="247" w:lineRule="auto"/>
              <w:rPr>
                <w:rFonts w:ascii="Arial"/>
                <w:sz w:val="21"/>
                <w:highlight w:val="none"/>
              </w:rPr>
            </w:pPr>
          </w:p>
          <w:p w14:paraId="3FC6F91B">
            <w:pPr>
              <w:spacing w:line="247" w:lineRule="auto"/>
              <w:rPr>
                <w:rFonts w:ascii="Arial"/>
                <w:sz w:val="21"/>
                <w:highlight w:val="none"/>
              </w:rPr>
            </w:pPr>
          </w:p>
          <w:p w14:paraId="124938F7">
            <w:pPr>
              <w:spacing w:line="247" w:lineRule="auto"/>
              <w:rPr>
                <w:rFonts w:ascii="Arial"/>
                <w:sz w:val="21"/>
                <w:highlight w:val="none"/>
              </w:rPr>
            </w:pPr>
          </w:p>
          <w:p w14:paraId="38757402">
            <w:pPr>
              <w:spacing w:line="248" w:lineRule="auto"/>
              <w:rPr>
                <w:rFonts w:ascii="Arial"/>
                <w:sz w:val="21"/>
                <w:highlight w:val="none"/>
              </w:rPr>
            </w:pPr>
          </w:p>
          <w:p w14:paraId="5FEDBC8B">
            <w:pPr>
              <w:spacing w:line="248" w:lineRule="auto"/>
              <w:rPr>
                <w:rFonts w:ascii="Arial"/>
                <w:sz w:val="21"/>
                <w:highlight w:val="none"/>
              </w:rPr>
            </w:pPr>
          </w:p>
          <w:p w14:paraId="5F185D52">
            <w:pPr>
              <w:spacing w:line="248" w:lineRule="auto"/>
              <w:rPr>
                <w:rFonts w:ascii="Arial"/>
                <w:sz w:val="21"/>
                <w:highlight w:val="none"/>
              </w:rPr>
            </w:pPr>
          </w:p>
          <w:p w14:paraId="797A8024">
            <w:pPr>
              <w:pStyle w:val="5"/>
              <w:spacing w:before="81" w:line="220" w:lineRule="auto"/>
              <w:ind w:left="154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spacing w:val="2"/>
                <w:highlight w:val="none"/>
              </w:rPr>
              <w:t>六、专项行动</w:t>
            </w:r>
          </w:p>
        </w:tc>
        <w:tc>
          <w:tcPr>
            <w:tcW w:w="1134" w:type="pct"/>
            <w:gridSpan w:val="3"/>
            <w:vAlign w:val="top"/>
          </w:tcPr>
          <w:p w14:paraId="52F6187D">
            <w:pPr>
              <w:spacing w:line="257" w:lineRule="auto"/>
              <w:rPr>
                <w:rFonts w:ascii="Arial"/>
                <w:sz w:val="21"/>
                <w:highlight w:val="none"/>
              </w:rPr>
            </w:pPr>
          </w:p>
          <w:p w14:paraId="42326B82">
            <w:pPr>
              <w:spacing w:line="257" w:lineRule="auto"/>
              <w:rPr>
                <w:rFonts w:ascii="Arial"/>
                <w:sz w:val="21"/>
                <w:highlight w:val="none"/>
              </w:rPr>
            </w:pPr>
          </w:p>
          <w:p w14:paraId="3922A313">
            <w:pPr>
              <w:spacing w:line="257" w:lineRule="auto"/>
              <w:rPr>
                <w:rFonts w:ascii="Arial"/>
                <w:sz w:val="21"/>
                <w:highlight w:val="none"/>
              </w:rPr>
            </w:pPr>
          </w:p>
          <w:p w14:paraId="278D07CF">
            <w:pPr>
              <w:spacing w:line="257" w:lineRule="auto"/>
              <w:rPr>
                <w:rFonts w:ascii="Arial"/>
                <w:sz w:val="21"/>
                <w:highlight w:val="none"/>
              </w:rPr>
            </w:pPr>
          </w:p>
          <w:p w14:paraId="5C04AF78">
            <w:pPr>
              <w:spacing w:line="257" w:lineRule="auto"/>
              <w:rPr>
                <w:rFonts w:ascii="Arial"/>
                <w:sz w:val="21"/>
                <w:highlight w:val="none"/>
              </w:rPr>
            </w:pPr>
          </w:p>
          <w:p w14:paraId="343E4A0C">
            <w:pPr>
              <w:spacing w:line="257" w:lineRule="auto"/>
              <w:rPr>
                <w:rFonts w:ascii="Arial"/>
                <w:sz w:val="21"/>
                <w:highlight w:val="none"/>
              </w:rPr>
            </w:pPr>
          </w:p>
          <w:p w14:paraId="7DC7148D">
            <w:pPr>
              <w:pStyle w:val="5"/>
              <w:spacing w:before="81" w:line="323" w:lineRule="auto"/>
              <w:ind w:left="10" w:firstLine="498"/>
              <w:jc w:val="both"/>
              <w:rPr>
                <w:highlight w:val="none"/>
              </w:rPr>
            </w:pPr>
            <w:r>
              <w:rPr>
                <w:spacing w:val="-20"/>
                <w:highlight w:val="none"/>
              </w:rPr>
              <w:t>结合辖</w:t>
            </w:r>
            <w:r>
              <w:rPr>
                <w:spacing w:val="-19"/>
                <w:highlight w:val="none"/>
              </w:rPr>
              <w:t>区实际，开展慢性病</w:t>
            </w:r>
            <w:r>
              <w:rPr>
                <w:spacing w:val="-16"/>
                <w:highlight w:val="none"/>
              </w:rPr>
              <w:t>防治专项行动，形成可复制、可推广</w:t>
            </w:r>
            <w:r>
              <w:rPr>
                <w:spacing w:val="-2"/>
                <w:highlight w:val="none"/>
              </w:rPr>
              <w:t>的经验和方案。</w:t>
            </w:r>
          </w:p>
        </w:tc>
        <w:tc>
          <w:tcPr>
            <w:tcW w:w="3280" w:type="pct"/>
            <w:gridSpan w:val="4"/>
            <w:vAlign w:val="top"/>
          </w:tcPr>
          <w:p w14:paraId="09F05139">
            <w:pPr>
              <w:pStyle w:val="5"/>
              <w:spacing w:before="92" w:line="222" w:lineRule="auto"/>
              <w:ind w:firstLine="261" w:firstLineChars="100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5"/>
                <w:highlight w:val="none"/>
                <w:lang w:val="en-US" w:eastAsia="zh-CN"/>
              </w:rPr>
              <w:t>1.</w:t>
            </w:r>
            <w:r>
              <w:rPr>
                <w:b/>
                <w:bCs/>
                <w:spacing w:val="5"/>
                <w:highlight w:val="none"/>
              </w:rPr>
              <w:t>要点</w:t>
            </w:r>
          </w:p>
          <w:p w14:paraId="7CAACA04">
            <w:pPr>
              <w:pStyle w:val="5"/>
              <w:spacing w:before="155" w:line="321" w:lineRule="auto"/>
              <w:ind w:firstLine="236" w:firstLineChars="100"/>
              <w:rPr>
                <w:highlight w:val="none"/>
              </w:rPr>
            </w:pPr>
            <w:r>
              <w:rPr>
                <w:spacing w:val="-7"/>
                <w:highlight w:val="none"/>
              </w:rPr>
              <w:t>聚焦慢性病预防、治疗、康复、管理全链条，在实施</w:t>
            </w:r>
            <w:r>
              <w:rPr>
                <w:spacing w:val="-8"/>
                <w:highlight w:val="none"/>
              </w:rPr>
              <w:t>路径、数智赋能、成效评估、保障措施</w:t>
            </w:r>
            <w:r>
              <w:rPr>
                <w:highlight w:val="none"/>
              </w:rPr>
              <w:t>等方面，探索贴合辖区实际、注重实施效果的成功经</w:t>
            </w:r>
            <w:r>
              <w:rPr>
                <w:spacing w:val="-1"/>
                <w:highlight w:val="none"/>
              </w:rPr>
              <w:t>验，形成可推广复制的方案。</w:t>
            </w:r>
          </w:p>
          <w:p w14:paraId="13B6CE63">
            <w:pPr>
              <w:pStyle w:val="5"/>
              <w:spacing w:line="219" w:lineRule="auto"/>
              <w:ind w:firstLine="265" w:firstLineChars="100"/>
              <w:rPr>
                <w:highlight w:val="none"/>
              </w:rPr>
            </w:pPr>
            <w:r>
              <w:rPr>
                <w:rFonts w:hint="eastAsia"/>
                <w:b/>
                <w:bCs/>
                <w:spacing w:val="7"/>
                <w:highlight w:val="none"/>
                <w:lang w:val="en-US" w:eastAsia="zh-CN"/>
              </w:rPr>
              <w:t>2.</w:t>
            </w:r>
            <w:r>
              <w:rPr>
                <w:b/>
                <w:bCs/>
                <w:spacing w:val="7"/>
                <w:highlight w:val="none"/>
              </w:rPr>
              <w:t>说明</w:t>
            </w:r>
          </w:p>
          <w:p w14:paraId="61605BB3">
            <w:pPr>
              <w:pStyle w:val="5"/>
              <w:spacing w:before="145" w:line="319" w:lineRule="auto"/>
              <w:ind w:firstLine="238" w:firstLineChars="100"/>
              <w:rPr>
                <w:highlight w:val="none"/>
              </w:rPr>
            </w:pPr>
            <w:r>
              <w:rPr>
                <w:spacing w:val="-6"/>
                <w:highlight w:val="none"/>
              </w:rPr>
              <w:t>(1)围绕“健康中国2030”目标实现，专项行动包括但不限于以下工作：1)开展烟草控制，</w:t>
            </w:r>
            <w:r>
              <w:rPr>
                <w:spacing w:val="-12"/>
                <w:highlight w:val="none"/>
              </w:rPr>
              <w:t>持续降低人群吸烟率和二手烟危害；2)持续开展“体重</w:t>
            </w:r>
            <w:r>
              <w:rPr>
                <w:spacing w:val="-13"/>
                <w:highlight w:val="none"/>
              </w:rPr>
              <w:t>管理年”活动，预防和控制人群超重肥胖；</w:t>
            </w:r>
            <w:r>
              <w:rPr>
                <w:spacing w:val="-7"/>
                <w:highlight w:val="none"/>
              </w:rPr>
              <w:t>3)开展全民健身运动，提升人群身体活动水平；4)推进健康学校建设，全面提高学生健康水平；</w:t>
            </w:r>
            <w:r>
              <w:rPr>
                <w:spacing w:val="-1"/>
                <w:highlight w:val="none"/>
              </w:rPr>
              <w:t>5)深化全民健康生活方式行动；6)组织开展心脑血管疾病、癌症等组织性、机会性筛查；</w:t>
            </w:r>
            <w:r>
              <w:rPr>
                <w:spacing w:val="-2"/>
                <w:highlight w:val="none"/>
              </w:rPr>
              <w:t>7)强</w:t>
            </w:r>
            <w:r>
              <w:rPr>
                <w:highlight w:val="none"/>
              </w:rPr>
              <w:t>化慢病全程管理，促进多病同防同治；8)其它贴合辖区实</w:t>
            </w:r>
            <w:r>
              <w:rPr>
                <w:spacing w:val="-1"/>
                <w:highlight w:val="none"/>
              </w:rPr>
              <w:t>际，在破解难题方面的特色工作。</w:t>
            </w:r>
          </w:p>
          <w:p w14:paraId="0440814C">
            <w:pPr>
              <w:pStyle w:val="5"/>
              <w:spacing w:before="134" w:line="219" w:lineRule="auto"/>
              <w:ind w:firstLine="226" w:firstLineChars="100"/>
              <w:jc w:val="left"/>
              <w:rPr>
                <w:spacing w:val="-13"/>
                <w:highlight w:val="none"/>
              </w:rPr>
            </w:pPr>
            <w:r>
              <w:rPr>
                <w:spacing w:val="-12"/>
                <w:highlight w:val="none"/>
              </w:rPr>
              <w:t>(2)根据实际工作情况，选择具有特色做法和先进经</w:t>
            </w:r>
            <w:r>
              <w:rPr>
                <w:spacing w:val="-13"/>
                <w:highlight w:val="none"/>
              </w:rPr>
              <w:t>验的专项行动或重点工作提交总结材料。</w:t>
            </w:r>
          </w:p>
          <w:p w14:paraId="36A49FAE">
            <w:pPr>
              <w:pStyle w:val="5"/>
              <w:spacing w:before="134" w:line="219" w:lineRule="auto"/>
              <w:ind w:firstLine="430" w:firstLineChars="20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1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b/>
                <w:bCs/>
                <w:snapToGrid w:val="0"/>
                <w:color w:val="000000"/>
                <w:spacing w:val="-13"/>
                <w:kern w:val="0"/>
                <w:sz w:val="24"/>
                <w:szCs w:val="24"/>
                <w:highlight w:val="none"/>
                <w:lang w:val="en-US" w:eastAsia="zh-CN" w:bidi="ar-SA"/>
              </w:rPr>
              <w:t>3.建议</w:t>
            </w:r>
          </w:p>
          <w:p w14:paraId="3883827F">
            <w:pPr>
              <w:pStyle w:val="5"/>
              <w:spacing w:before="134" w:line="219" w:lineRule="auto"/>
              <w:ind w:firstLine="214" w:firstLineChars="10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1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3"/>
                <w:kern w:val="0"/>
                <w:sz w:val="24"/>
                <w:szCs w:val="24"/>
                <w:highlight w:val="none"/>
                <w:lang w:val="en-US" w:eastAsia="zh-CN" w:bidi="ar-SA"/>
              </w:rPr>
              <w:t>（1）梳理现有工作，同类整合；</w:t>
            </w:r>
          </w:p>
          <w:p w14:paraId="797C3A6D">
            <w:pPr>
              <w:pStyle w:val="5"/>
              <w:spacing w:before="134" w:line="219" w:lineRule="auto"/>
              <w:ind w:firstLine="214" w:firstLineChars="100"/>
              <w:jc w:val="left"/>
              <w:rPr>
                <w:rFonts w:hint="default" w:ascii="宋体" w:hAnsi="宋体" w:eastAsia="宋体" w:cs="宋体"/>
                <w:snapToGrid w:val="0"/>
                <w:color w:val="000000"/>
                <w:spacing w:val="-1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3"/>
                <w:kern w:val="0"/>
                <w:sz w:val="24"/>
                <w:szCs w:val="24"/>
                <w:highlight w:val="none"/>
                <w:lang w:val="en-US" w:eastAsia="zh-CN" w:bidi="ar-SA"/>
              </w:rPr>
              <w:t>（2）开展专项行动；</w:t>
            </w:r>
          </w:p>
          <w:p w14:paraId="64C18EC3">
            <w:pPr>
              <w:pStyle w:val="5"/>
              <w:spacing w:before="134" w:line="219" w:lineRule="auto"/>
              <w:ind w:firstLine="214" w:firstLineChars="100"/>
              <w:jc w:val="left"/>
              <w:rPr>
                <w:spacing w:val="-13"/>
                <w:highlight w:val="none"/>
              </w:rPr>
            </w:pPr>
            <w:r>
              <w:rPr>
                <w:rFonts w:hint="eastAsia" w:cs="宋体"/>
                <w:snapToGrid w:val="0"/>
                <w:color w:val="000000"/>
                <w:spacing w:val="-13"/>
                <w:kern w:val="0"/>
                <w:sz w:val="24"/>
                <w:szCs w:val="24"/>
                <w:highlight w:val="none"/>
                <w:lang w:val="en-US" w:eastAsia="zh-CN" w:bidi="ar-SA"/>
              </w:rPr>
              <w:t>（3）提供案例和专项行动工作情况。</w:t>
            </w:r>
          </w:p>
        </w:tc>
      </w:tr>
    </w:tbl>
    <w:p w14:paraId="3D41F3AB">
      <w:pPr>
        <w:pStyle w:val="2"/>
        <w:spacing w:before="152" w:line="222" w:lineRule="auto"/>
        <w:rPr>
          <w:sz w:val="27"/>
          <w:szCs w:val="27"/>
        </w:rPr>
      </w:pPr>
    </w:p>
    <w:p w14:paraId="650AB5E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/>
          <w:lang w:val="en-US" w:eastAsia="zh-CN"/>
        </w:rPr>
      </w:pPr>
    </w:p>
    <w:p w14:paraId="74DF7A18"/>
    <w:sectPr>
      <w:footerReference r:id="rId3" w:type="default"/>
      <w:pgSz w:w="16820" w:h="11900" w:orient="landscape"/>
      <w:pgMar w:top="1579" w:right="1429" w:bottom="1653" w:left="1507" w:header="0" w:footer="127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1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F9E2B628-2A24-495E-813B-933B2645DF3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D5B2BE7-8AAE-4717-BE90-B4E0E1ED98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A967E8C-2033-419B-B8FE-4CD789CCF9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C22A95">
    <w:pPr>
      <w:spacing w:line="172" w:lineRule="auto"/>
      <w:ind w:left="170"/>
      <w:rPr>
        <w:rFonts w:ascii="Times New Roman" w:hAnsi="Times New Roman" w:eastAsia="Times New Roman" w:cs="Times New Roman"/>
        <w:sz w:val="24"/>
        <w:szCs w:val="24"/>
      </w:rPr>
    </w:pPr>
    <w:r>
      <w:rPr>
        <w:rFonts w:ascii="宋体" w:hAnsi="宋体" w:eastAsia="宋体" w:cs="宋体"/>
        <w:spacing w:val="-9"/>
        <w:sz w:val="24"/>
        <w:szCs w:val="24"/>
      </w:rPr>
      <w:t>—</w:t>
    </w:r>
    <w:r>
      <w:rPr>
        <w:rFonts w:ascii="宋体" w:hAnsi="宋体" w:eastAsia="宋体" w:cs="宋体"/>
        <w:spacing w:val="9"/>
        <w:sz w:val="24"/>
        <w:szCs w:val="24"/>
      </w:rPr>
      <w:t xml:space="preserve">  </w:t>
    </w:r>
    <w:r>
      <w:rPr>
        <w:rFonts w:ascii="Times New Roman" w:hAnsi="Times New Roman" w:eastAsia="Times New Roman" w:cs="Times New Roman"/>
        <w:spacing w:val="-9"/>
        <w:sz w:val="24"/>
        <w:szCs w:val="24"/>
      </w:rPr>
      <w:t>16—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EA677D"/>
    <w:multiLevelType w:val="singleLevel"/>
    <w:tmpl w:val="59EA677D"/>
    <w:lvl w:ilvl="0" w:tentative="0">
      <w:start w:val="5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72DBB"/>
    <w:rsid w:val="7E57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2026-06-05T01:46:00Z</dcterms:created>
  <dc:creator>杨珺玥</dc:creator>
  <cp:lastModifiedBy>杨珺玥</cp:lastModifiedBy>
  <dcterms:modified xsi:type="dcterms:W3CDTF">2026-06-05T01:47:20Z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B77E77BA7D8B4EA5B4A39AC77EAC90C7_11</vt:lpwstr>
  </property>
</Properties>
</file>