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CDF86">
      <w:pPr>
        <w:pStyle w:val="2"/>
        <w:jc w:val="center"/>
        <w:rPr>
          <w:rFonts w:hint="eastAsia" w:ascii="宋体" w:hAnsi="宋体" w:eastAsia="宋体" w:cs="宋体"/>
          <w:color w:val="auto"/>
          <w:sz w:val="24"/>
          <w:szCs w:val="24"/>
        </w:rPr>
      </w:pPr>
      <w:bookmarkStart w:id="0" w:name="云南省省级行政事业单位通用办公设备及家具配置标准-新旧版本对比"/>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云南省省级行政事业单位通用办公设备及家具配置标准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新旧版本对比</w:t>
      </w:r>
    </w:p>
    <w:p w14:paraId="49245AD6">
      <w:pPr>
        <w:pStyle w:val="4"/>
        <w:rPr>
          <w:rFonts w:hint="eastAsia" w:ascii="宋体" w:hAnsi="宋体" w:eastAsia="宋体" w:cs="宋体"/>
          <w:color w:val="auto"/>
          <w:sz w:val="24"/>
          <w:szCs w:val="24"/>
        </w:rPr>
      </w:pPr>
      <w:bookmarkStart w:id="1" w:name="一版本概况"/>
      <w:r>
        <w:rPr>
          <w:rFonts w:hint="eastAsia" w:ascii="宋体" w:hAnsi="宋体" w:eastAsia="宋体" w:cs="宋体"/>
          <w:color w:val="auto"/>
          <w:sz w:val="24"/>
          <w:szCs w:val="24"/>
        </w:rPr>
        <w:t>一、版本概况</w:t>
      </w:r>
    </w:p>
    <w:tbl>
      <w:tblPr>
        <w:tblStyle w:val="43"/>
        <w:tblW w:w="7920" w:type="dxa"/>
        <w:jc w:val="center"/>
        <w:tblLayout w:type="autofit"/>
        <w:tblCellMar>
          <w:top w:w="0" w:type="dxa"/>
          <w:left w:w="108" w:type="dxa"/>
          <w:bottom w:w="0" w:type="dxa"/>
          <w:right w:w="108" w:type="dxa"/>
        </w:tblCellMar>
      </w:tblPr>
      <w:tblGrid>
        <w:gridCol w:w="806"/>
        <w:gridCol w:w="2947"/>
        <w:gridCol w:w="4167"/>
      </w:tblGrid>
      <w:tr w14:paraId="69E14A70">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27591C3E">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23DA9D70">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旧版（2018版）</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194C0EE7">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新版（2026版）</w:t>
            </w:r>
          </w:p>
        </w:tc>
      </w:tr>
      <w:tr w14:paraId="3663CCCC">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7FED556D">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文件名称</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20353107">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云南省省级行政事业单位通用办公设备办公家具配置标准（2018版）</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3001411E">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云南省省级行政事业单位通用办公设备及家具配置标准（2026版）</w:t>
            </w:r>
          </w:p>
        </w:tc>
      </w:tr>
      <w:tr w14:paraId="432B5611">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32633CF5">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文号</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0582A5D1">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云财资〔2018〕1号</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50C29468">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云财资〔2026〕43号</w:t>
            </w:r>
          </w:p>
        </w:tc>
      </w:tr>
      <w:tr w14:paraId="6ED56766">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27377B50">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印发机关</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326CA73C">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云南省财政厅</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366F0186">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云南省财政厅</w:t>
            </w:r>
          </w:p>
        </w:tc>
      </w:tr>
      <w:tr w14:paraId="18A8CC37">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2F0F6084">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印发时间</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26B5171A">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2018年</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70BA69BE">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2026年7月24日，自印发之日起执行</w:t>
            </w:r>
          </w:p>
        </w:tc>
      </w:tr>
      <w:tr w14:paraId="6A6079F6">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66C82AAA">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效力状态</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2FC70D85">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已废止（2026版施行同时废止）</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1D068A0F">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现行有效</w:t>
            </w:r>
          </w:p>
        </w:tc>
      </w:tr>
      <w:tr w14:paraId="268A2A3A">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5198D275">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依据</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4C3A350D">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云政办函〔2014〕126号、《党政机关厉行节约反对浪费条例》</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78397BF2">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国家及云南省国有资产管理有关规定，全面贯彻落实过紧日子要求</w:t>
            </w:r>
          </w:p>
        </w:tc>
      </w:tr>
      <w:tr w14:paraId="19A0D9A4">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top"/>
          </w:tcPr>
          <w:p w14:paraId="118FDF2B">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文件结构</w:t>
            </w:r>
          </w:p>
        </w:tc>
        <w:tc>
          <w:tcPr>
            <w:tcW w:w="2947" w:type="dxa"/>
            <w:tcBorders>
              <w:top w:val="single" w:color="auto" w:sz="4" w:space="0"/>
              <w:left w:val="single" w:color="auto" w:sz="4" w:space="0"/>
              <w:bottom w:val="nil"/>
              <w:right w:val="nil"/>
            </w:tcBorders>
            <w:noWrap w:val="0"/>
            <w:tcMar>
              <w:top w:w="-1" w:type="dxa"/>
              <w:left w:w="-1" w:type="dxa"/>
              <w:bottom w:w="-1" w:type="dxa"/>
              <w:right w:w="-1" w:type="dxa"/>
            </w:tcMar>
            <w:vAlign w:val="top"/>
          </w:tcPr>
          <w:p w14:paraId="28E4B258">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总体要求＋附件1设备标准＋附件2家具标准</w:t>
            </w:r>
          </w:p>
        </w:tc>
        <w:tc>
          <w:tcPr>
            <w:tcW w:w="4167"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top"/>
          </w:tcPr>
          <w:p w14:paraId="679AC6E4">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配置总体要求＋资产配置标准明细表（设备13类、家具15类，共28种资产）＋性能参考指引（计算机、激光打印机）</w:t>
            </w:r>
          </w:p>
        </w:tc>
      </w:tr>
      <w:tr w14:paraId="7202850A">
        <w:tblPrEx>
          <w:tblCellMar>
            <w:top w:w="0" w:type="dxa"/>
            <w:left w:w="108" w:type="dxa"/>
            <w:bottom w:w="0" w:type="dxa"/>
            <w:right w:w="108" w:type="dxa"/>
          </w:tblCellMar>
        </w:tblPrEx>
        <w:trPr>
          <w:trHeight w:val="0" w:hRule="atLeast"/>
          <w:jc w:val="center"/>
        </w:trPr>
        <w:tc>
          <w:tcPr>
            <w:tcW w:w="80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top"/>
          </w:tcPr>
          <w:p w14:paraId="1B20B2C6">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资产品目编码</w:t>
            </w:r>
          </w:p>
        </w:tc>
        <w:tc>
          <w:tcPr>
            <w:tcW w:w="2947"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top"/>
          </w:tcPr>
          <w:p w14:paraId="7580B9F7">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未统一标注代码</w:t>
            </w:r>
          </w:p>
        </w:tc>
        <w:tc>
          <w:tcPr>
            <w:tcW w:w="4167"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top"/>
          </w:tcPr>
          <w:p w14:paraId="4E587108">
            <w:pPr>
              <w:pStyle w:val="26"/>
              <w:snapToGrid w:val="0"/>
              <w:rPr>
                <w:rFonts w:hint="eastAsia" w:ascii="宋体" w:hAnsi="宋体" w:eastAsia="宋体" w:cs="宋体"/>
                <w:color w:val="auto"/>
                <w:sz w:val="24"/>
                <w:szCs w:val="24"/>
              </w:rPr>
            </w:pPr>
            <w:r>
              <w:rPr>
                <w:rFonts w:hint="eastAsia" w:ascii="宋体" w:hAnsi="宋体" w:eastAsia="宋体" w:cs="宋体"/>
                <w:color w:val="auto"/>
                <w:sz w:val="24"/>
                <w:szCs w:val="24"/>
              </w:rPr>
              <w:t>依据《固定资产等资产基础分类与代码》（GB/T</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t>14885—2022）标注资产代码</w:t>
            </w:r>
          </w:p>
        </w:tc>
      </w:tr>
      <w:bookmarkEnd w:id="1"/>
    </w:tbl>
    <w:p w14:paraId="4E32F929">
      <w:pPr>
        <w:pStyle w:val="4"/>
        <w:rPr>
          <w:rFonts w:hint="eastAsia" w:ascii="宋体" w:hAnsi="宋体" w:eastAsia="宋体" w:cs="宋体"/>
          <w:color w:val="auto"/>
          <w:sz w:val="24"/>
          <w:szCs w:val="24"/>
        </w:rPr>
      </w:pPr>
      <w:bookmarkStart w:id="2" w:name="二管理要求的主要变化"/>
      <w:r>
        <w:rPr>
          <w:rFonts w:hint="eastAsia" w:ascii="宋体" w:hAnsi="宋体" w:eastAsia="宋体" w:cs="宋体"/>
          <w:color w:val="auto"/>
          <w:sz w:val="24"/>
          <w:szCs w:val="24"/>
        </w:rPr>
        <w:t>二、管理要求的主要变化</w:t>
      </w:r>
    </w:p>
    <w:p w14:paraId="7E4BB1A1">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适用范围表述更全</w:t>
      </w:r>
      <w:r>
        <w:rPr>
          <w:rFonts w:hint="eastAsia" w:ascii="宋体" w:hAnsi="宋体" w:eastAsia="宋体" w:cs="宋体"/>
          <w:color w:val="auto"/>
          <w:sz w:val="24"/>
          <w:szCs w:val="24"/>
        </w:rPr>
        <w:t>：2026版明确覆盖省级党的机关、人大、行政、政协、审判、检察、民主党派机关和各类事业单位，以及工会、共青团、妇联等人民团体（2018版仅笼统表述”省级行政事业单位”）。</w:t>
      </w:r>
    </w:p>
    <w:p w14:paraId="1990CA9A">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信创设备纳入通用标准</w:t>
      </w:r>
      <w:r>
        <w:rPr>
          <w:rFonts w:hint="eastAsia" w:ascii="宋体" w:hAnsi="宋体" w:eastAsia="宋体" w:cs="宋体"/>
          <w:color w:val="auto"/>
          <w:sz w:val="24"/>
          <w:szCs w:val="24"/>
        </w:rPr>
        <w:t>：2026版定义通用办公设备、家具”不含专业类、涉密类设备和家具，所列资产品目包括信创工程设备”；2018版无此表述。</w:t>
      </w:r>
    </w:p>
    <w:p w14:paraId="6C2F037B">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配置原则首次系统化</w:t>
      </w:r>
      <w:r>
        <w:rPr>
          <w:rFonts w:hint="eastAsia" w:ascii="宋体" w:hAnsi="宋体" w:eastAsia="宋体" w:cs="宋体"/>
          <w:color w:val="auto"/>
          <w:sz w:val="24"/>
          <w:szCs w:val="24"/>
        </w:rPr>
        <w:t>：2026版确立”调剂优先、厉行节约、统筹应用、从严控制”十六字原则，明确优先通过全国行政事业单位国有资产调剂共享平台或省级公物仓调剂解决；2018版仅要求”优先调剂、从严控制”。</w:t>
      </w:r>
    </w:p>
    <w:p w14:paraId="23965DF3">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以存量控增量</w:t>
      </w:r>
      <w:r>
        <w:rPr>
          <w:rFonts w:hint="eastAsia" w:ascii="宋体" w:hAnsi="宋体" w:eastAsia="宋体" w:cs="宋体"/>
          <w:color w:val="auto"/>
          <w:sz w:val="24"/>
          <w:szCs w:val="24"/>
        </w:rPr>
        <w:t>：2026版明确”存量资产数量已达到规定标准的，不得申请配置同类资产”；2018版仅规定”现有资产超过或低于配置标准的，继续使用”。</w:t>
      </w:r>
    </w:p>
    <w:p w14:paraId="1A5589C5">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配置程序更严</w:t>
      </w:r>
      <w:r>
        <w:rPr>
          <w:rFonts w:hint="eastAsia" w:ascii="宋体" w:hAnsi="宋体" w:eastAsia="宋体" w:cs="宋体"/>
          <w:color w:val="auto"/>
          <w:sz w:val="24"/>
          <w:szCs w:val="24"/>
        </w:rPr>
        <w:t>：2026版要求按部门年初预算编制、申报新增资产配置表，不超出批复范围配置，年度中原则上不允许临时新增；标准范围内未经批准的资产配置事项一律不得采购。</w:t>
      </w:r>
    </w:p>
    <w:p w14:paraId="29CE1426">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使用年限口径细化</w:t>
      </w:r>
      <w:r>
        <w:rPr>
          <w:rFonts w:hint="eastAsia" w:ascii="宋体" w:hAnsi="宋体" w:eastAsia="宋体" w:cs="宋体"/>
          <w:color w:val="auto"/>
          <w:sz w:val="24"/>
          <w:szCs w:val="24"/>
        </w:rPr>
        <w:t>：2026版明确最低使用年限”不是强制报废年限”，未达年限原则上不得更新，达到年限仍能使用的应当继续使用。</w:t>
      </w:r>
    </w:p>
    <w:p w14:paraId="5B1B4BD8">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涉密资产管理</w:t>
      </w:r>
      <w:r>
        <w:rPr>
          <w:rFonts w:hint="eastAsia" w:ascii="宋体" w:hAnsi="宋体" w:eastAsia="宋体" w:cs="宋体"/>
          <w:color w:val="auto"/>
          <w:sz w:val="24"/>
          <w:szCs w:val="24"/>
        </w:rPr>
        <w:t>：2026版新增条款，要求单位建立涉密资产备查台账、定期盘点。</w:t>
      </w:r>
    </w:p>
    <w:p w14:paraId="227E8819">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州市标准设上限</w:t>
      </w:r>
      <w:r>
        <w:rPr>
          <w:rFonts w:hint="eastAsia" w:ascii="宋体" w:hAnsi="宋体" w:eastAsia="宋体" w:cs="宋体"/>
          <w:color w:val="auto"/>
          <w:sz w:val="24"/>
          <w:szCs w:val="24"/>
        </w:rPr>
        <w:t>：2026版明确各州市可自行制定标准，但数量和价格上限不得高于本标准、最低使用年限不得低于本标准，并报省财政厅备案。</w:t>
      </w:r>
    </w:p>
    <w:p w14:paraId="24B9C404">
      <w:pPr>
        <w:pStyle w:val="26"/>
        <w:numPr>
          <w:ilvl w:val="0"/>
          <w:numId w:val="1"/>
        </w:numPr>
        <w:rPr>
          <w:rFonts w:hint="eastAsia" w:ascii="宋体" w:hAnsi="宋体" w:eastAsia="宋体" w:cs="宋体"/>
          <w:color w:val="auto"/>
          <w:sz w:val="24"/>
          <w:szCs w:val="24"/>
        </w:rPr>
      </w:pPr>
      <w:r>
        <w:rPr>
          <w:rFonts w:hint="eastAsia" w:ascii="宋体" w:hAnsi="宋体" w:eastAsia="宋体" w:cs="宋体"/>
          <w:b/>
          <w:bCs/>
          <w:color w:val="auto"/>
          <w:sz w:val="24"/>
          <w:szCs w:val="24"/>
        </w:rPr>
        <w:t>动态调整机制</w:t>
      </w:r>
      <w:r>
        <w:rPr>
          <w:rFonts w:hint="eastAsia" w:ascii="宋体" w:hAnsi="宋体" w:eastAsia="宋体" w:cs="宋体"/>
          <w:color w:val="auto"/>
          <w:sz w:val="24"/>
          <w:szCs w:val="24"/>
        </w:rPr>
        <w:t>：2026版明确本标准是动态标准，根据经济社会和科技发展水平、市场价格变化等因素适时调整。</w:t>
      </w:r>
    </w:p>
    <w:p w14:paraId="7DF87A9F">
      <w:pPr>
        <w:pStyle w:val="26"/>
        <w:numPr>
          <w:numId w:val="0"/>
        </w:numPr>
        <w:ind w:left="360" w:leftChars="0"/>
        <w:rPr>
          <w:rFonts w:hint="eastAsia" w:ascii="宋体" w:hAnsi="宋体" w:eastAsia="宋体" w:cs="宋体"/>
          <w:color w:val="auto"/>
          <w:sz w:val="24"/>
          <w:szCs w:val="24"/>
        </w:rPr>
      </w:pPr>
      <w:r>
        <w:rPr>
          <w:rFonts w:hint="eastAsia" w:ascii="宋体" w:hAnsi="宋体" w:eastAsia="宋体" w:cs="宋体"/>
          <w:b w:val="0"/>
          <w:bCs w:val="0"/>
          <w:color w:val="auto"/>
          <w:sz w:val="24"/>
          <w:szCs w:val="24"/>
          <w:lang w:val="en-US" w:eastAsia="zh-CN"/>
        </w:rPr>
        <w:t>10.</w:t>
      </w:r>
      <w:r>
        <w:rPr>
          <w:rFonts w:hint="eastAsia" w:ascii="宋体" w:hAnsi="宋体" w:eastAsia="宋体" w:cs="宋体"/>
          <w:b/>
          <w:bCs/>
          <w:color w:val="auto"/>
          <w:sz w:val="24"/>
          <w:szCs w:val="24"/>
        </w:rPr>
        <w:t>窗口单位/专业单位</w:t>
      </w:r>
      <w:r>
        <w:rPr>
          <w:rFonts w:hint="eastAsia" w:ascii="宋体" w:hAnsi="宋体" w:eastAsia="宋体" w:cs="宋体"/>
          <w:color w:val="auto"/>
          <w:sz w:val="24"/>
          <w:szCs w:val="24"/>
        </w:rPr>
        <w:t>：两版均规定医院、学校、科研院所等行政岗按标准配置、非行政岗在标准内按需配置；2026版新增”窗口单位面向公众开放区域所需家具按勤俭节约原则配置”。</w:t>
      </w:r>
    </w:p>
    <w:bookmarkEnd w:id="2"/>
    <w:p w14:paraId="09A7B06C">
      <w:pPr>
        <w:pStyle w:val="4"/>
        <w:rPr>
          <w:rFonts w:hint="eastAsia" w:ascii="宋体" w:hAnsi="宋体" w:eastAsia="宋体" w:cs="宋体"/>
          <w:color w:val="auto"/>
          <w:sz w:val="24"/>
          <w:szCs w:val="24"/>
        </w:rPr>
      </w:pPr>
      <w:bookmarkStart w:id="3" w:name="三通用办公设备配置标准对比"/>
      <w:r>
        <w:rPr>
          <w:rFonts w:hint="eastAsia" w:ascii="宋体" w:hAnsi="宋体" w:eastAsia="宋体" w:cs="宋体"/>
          <w:color w:val="auto"/>
          <w:sz w:val="24"/>
          <w:szCs w:val="24"/>
        </w:rPr>
        <w:t>三、通用办公设备配置标准对比</w:t>
      </w:r>
    </w:p>
    <w:p w14:paraId="272F14C8">
      <w:pPr>
        <w:pStyle w:val="5"/>
        <w:rPr>
          <w:rFonts w:hint="eastAsia" w:ascii="宋体" w:hAnsi="宋体" w:eastAsia="宋体" w:cs="宋体"/>
          <w:color w:val="auto"/>
          <w:sz w:val="24"/>
          <w:szCs w:val="24"/>
        </w:rPr>
      </w:pPr>
      <w:bookmarkStart w:id="4" w:name="一计算机类变化最大"/>
      <w:r>
        <w:rPr>
          <w:rFonts w:hint="eastAsia" w:ascii="宋体" w:hAnsi="宋体" w:eastAsia="宋体" w:cs="宋体"/>
          <w:color w:val="auto"/>
          <w:sz w:val="24"/>
          <w:szCs w:val="24"/>
        </w:rPr>
        <w:t>（一）计算机类（变化最大）</w:t>
      </w:r>
    </w:p>
    <w:tbl>
      <w:tblPr>
        <w:tblStyle w:val="43"/>
        <w:tblW w:w="9448" w:type="dxa"/>
        <w:jc w:val="center"/>
        <w:tblLayout w:type="autofit"/>
        <w:tblCellMar>
          <w:top w:w="0" w:type="dxa"/>
          <w:left w:w="108" w:type="dxa"/>
          <w:bottom w:w="0" w:type="dxa"/>
          <w:right w:w="108" w:type="dxa"/>
        </w:tblCellMar>
      </w:tblPr>
      <w:tblGrid>
        <w:gridCol w:w="1776"/>
        <w:gridCol w:w="2136"/>
        <w:gridCol w:w="3216"/>
        <w:gridCol w:w="2320"/>
      </w:tblGrid>
      <w:tr w14:paraId="0D77FE41">
        <w:tblPrEx>
          <w:tblCellMar>
            <w:top w:w="0" w:type="dxa"/>
            <w:left w:w="108" w:type="dxa"/>
            <w:bottom w:w="0" w:type="dxa"/>
            <w:right w:w="108" w:type="dxa"/>
          </w:tblCellMar>
        </w:tblPrEx>
        <w:trPr>
          <w:trHeight w:val="0" w:hRule="atLeast"/>
          <w:tblHeader/>
          <w:jc w:val="center"/>
        </w:trPr>
        <w:tc>
          <w:tcPr>
            <w:tcW w:w="177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E086740">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资产品目</w:t>
            </w:r>
          </w:p>
        </w:tc>
        <w:tc>
          <w:tcPr>
            <w:tcW w:w="213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74A2FD7">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2018版</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98A3283">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2026版</w:t>
            </w:r>
          </w:p>
        </w:tc>
        <w:tc>
          <w:tcPr>
            <w:tcW w:w="232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0778827">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变化</w:t>
            </w:r>
          </w:p>
        </w:tc>
      </w:tr>
      <w:tr w14:paraId="161B5C8A">
        <w:tblPrEx>
          <w:tblCellMar>
            <w:top w:w="0" w:type="dxa"/>
            <w:left w:w="108" w:type="dxa"/>
            <w:bottom w:w="0" w:type="dxa"/>
            <w:right w:w="108" w:type="dxa"/>
          </w:tblCellMar>
        </w:tblPrEx>
        <w:trPr>
          <w:trHeight w:val="0" w:hRule="atLeast"/>
          <w:jc w:val="center"/>
        </w:trPr>
        <w:tc>
          <w:tcPr>
            <w:tcW w:w="177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FA1A92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台式计算机</w:t>
            </w:r>
          </w:p>
        </w:tc>
        <w:tc>
          <w:tcPr>
            <w:tcW w:w="213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8E1C06D">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6000元/台，6年；数量：行政单位及需内外网物理隔离单位≤编制人数100%；不需隔离事业单位≤100%</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C548CC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5500元/台，7年；数量：需隔离单位台式≤编制内实有人数100%；不需隔离单位台式≤100%</w:t>
            </w:r>
          </w:p>
        </w:tc>
        <w:tc>
          <w:tcPr>
            <w:tcW w:w="232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89DC3B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价格降500元，年限增1年</w:t>
            </w:r>
          </w:p>
        </w:tc>
      </w:tr>
      <w:tr w14:paraId="636275BF">
        <w:tblPrEx>
          <w:tblCellMar>
            <w:top w:w="0" w:type="dxa"/>
            <w:left w:w="108" w:type="dxa"/>
            <w:bottom w:w="0" w:type="dxa"/>
            <w:right w:w="108" w:type="dxa"/>
          </w:tblCellMar>
        </w:tblPrEx>
        <w:trPr>
          <w:trHeight w:val="0" w:hRule="atLeast"/>
          <w:jc w:val="center"/>
        </w:trPr>
        <w:tc>
          <w:tcPr>
            <w:tcW w:w="177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CAEA0D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便携式计算机</w:t>
            </w:r>
          </w:p>
        </w:tc>
        <w:tc>
          <w:tcPr>
            <w:tcW w:w="213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05E5D9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9000元/台，6年；数量：需隔离单位≤100%；不需隔离单位≤60%</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179B97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7500元/台，7年；数量：需隔离单位≤100%；不需隔离单位≤</w:t>
            </w:r>
            <w:r>
              <w:rPr>
                <w:rFonts w:hint="eastAsia" w:ascii="宋体" w:hAnsi="宋体" w:eastAsia="宋体" w:cs="宋体"/>
                <w:b/>
                <w:bCs/>
                <w:color w:val="auto"/>
                <w:sz w:val="24"/>
                <w:szCs w:val="24"/>
              </w:rPr>
              <w:t>50%</w:t>
            </w:r>
          </w:p>
        </w:tc>
        <w:tc>
          <w:tcPr>
            <w:tcW w:w="232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F9CAD0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价格降1500元，数量上限比例60%→50%，年限增1年</w:t>
            </w:r>
          </w:p>
        </w:tc>
      </w:tr>
      <w:tr w14:paraId="4BA0E2B3">
        <w:tblPrEx>
          <w:tblCellMar>
            <w:top w:w="0" w:type="dxa"/>
            <w:left w:w="108" w:type="dxa"/>
            <w:bottom w:w="0" w:type="dxa"/>
            <w:right w:w="108" w:type="dxa"/>
          </w:tblCellMar>
        </w:tblPrEx>
        <w:trPr>
          <w:trHeight w:val="0" w:hRule="atLeast"/>
          <w:jc w:val="center"/>
        </w:trPr>
        <w:tc>
          <w:tcPr>
            <w:tcW w:w="177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0DC4EE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人均台数总量控制</w:t>
            </w:r>
          </w:p>
        </w:tc>
        <w:tc>
          <w:tcPr>
            <w:tcW w:w="213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AD1E5A5">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C01B1B6">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新增：需隔离单位台式＋便携人均≤</w:t>
            </w:r>
            <w:r>
              <w:rPr>
                <w:rFonts w:hint="eastAsia" w:ascii="宋体" w:hAnsi="宋体" w:eastAsia="宋体" w:cs="宋体"/>
                <w:b/>
                <w:bCs/>
                <w:color w:val="auto"/>
                <w:sz w:val="24"/>
                <w:szCs w:val="24"/>
              </w:rPr>
              <w:t>2台</w:t>
            </w:r>
            <w:r>
              <w:rPr>
                <w:rFonts w:hint="eastAsia" w:ascii="宋体" w:hAnsi="宋体" w:eastAsia="宋体" w:cs="宋体"/>
                <w:color w:val="auto"/>
                <w:sz w:val="24"/>
                <w:szCs w:val="24"/>
              </w:rPr>
              <w:t>；不需隔离单位台式＋便携人均≤</w:t>
            </w:r>
            <w:r>
              <w:rPr>
                <w:rFonts w:hint="eastAsia" w:ascii="宋体" w:hAnsi="宋体" w:eastAsia="宋体" w:cs="宋体"/>
                <w:b/>
                <w:bCs/>
                <w:color w:val="auto"/>
                <w:sz w:val="24"/>
                <w:szCs w:val="24"/>
              </w:rPr>
              <w:t>1.5台</w:t>
            </w:r>
          </w:p>
        </w:tc>
        <w:tc>
          <w:tcPr>
            <w:tcW w:w="232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89C21A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新增总量闸门</w:t>
            </w:r>
          </w:p>
        </w:tc>
      </w:tr>
      <w:tr w14:paraId="2CDC25D1">
        <w:tblPrEx>
          <w:tblCellMar>
            <w:top w:w="0" w:type="dxa"/>
            <w:left w:w="108" w:type="dxa"/>
            <w:bottom w:w="0" w:type="dxa"/>
            <w:right w:w="108" w:type="dxa"/>
          </w:tblCellMar>
        </w:tblPrEx>
        <w:trPr>
          <w:trHeight w:val="0" w:hRule="atLeast"/>
          <w:jc w:val="center"/>
        </w:trPr>
        <w:tc>
          <w:tcPr>
            <w:tcW w:w="177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47350C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平板电脑</w:t>
            </w:r>
          </w:p>
        </w:tc>
        <w:tc>
          <w:tcPr>
            <w:tcW w:w="213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E43A416">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无此品目</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5260E7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新增：经审核后按需配置，总数≤编制内实有人数5%，4000元/台，7年</w:t>
            </w:r>
          </w:p>
        </w:tc>
        <w:tc>
          <w:tcPr>
            <w:tcW w:w="232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FAC35B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5201C72F">
        <w:tblPrEx>
          <w:tblCellMar>
            <w:top w:w="0" w:type="dxa"/>
            <w:left w:w="108" w:type="dxa"/>
            <w:bottom w:w="0" w:type="dxa"/>
            <w:right w:w="108" w:type="dxa"/>
          </w:tblCellMar>
        </w:tblPrEx>
        <w:trPr>
          <w:trHeight w:val="0" w:hRule="atLeast"/>
          <w:jc w:val="center"/>
        </w:trPr>
        <w:tc>
          <w:tcPr>
            <w:tcW w:w="177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FCD6854">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长期聘用人员</w:t>
            </w:r>
          </w:p>
        </w:tc>
        <w:tc>
          <w:tcPr>
            <w:tcW w:w="213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B5D1CAC">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未规定</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D2A754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新增：可按业务需要单独核定，原则上只能配置台式机，不得超核定控制数</w:t>
            </w:r>
          </w:p>
        </w:tc>
        <w:tc>
          <w:tcPr>
            <w:tcW w:w="232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6CF131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w:t>
            </w:r>
          </w:p>
        </w:tc>
      </w:tr>
      <w:tr w14:paraId="146EAC50">
        <w:tblPrEx>
          <w:tblCellMar>
            <w:top w:w="0" w:type="dxa"/>
            <w:left w:w="108" w:type="dxa"/>
            <w:bottom w:w="0" w:type="dxa"/>
            <w:right w:w="108" w:type="dxa"/>
          </w:tblCellMar>
        </w:tblPrEx>
        <w:trPr>
          <w:trHeight w:val="0" w:hRule="atLeast"/>
          <w:jc w:val="center"/>
        </w:trPr>
        <w:tc>
          <w:tcPr>
            <w:tcW w:w="177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4684187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外勤单位</w:t>
            </w:r>
          </w:p>
        </w:tc>
        <w:tc>
          <w:tcPr>
            <w:tcW w:w="213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5F67D851">
            <w:pPr>
              <w:pStyle w:val="26"/>
              <w:snapToGrid w:val="0"/>
              <w:ind w:left="0" w:leftChars="0" w:right="0" w:rightChars="0" w:firstLine="0" w:firstLineChars="0"/>
              <w:jc w:val="right"/>
              <w:rPr>
                <w:rFonts w:hint="eastAsia" w:ascii="宋体" w:hAnsi="宋体" w:eastAsia="宋体" w:cs="宋体"/>
                <w:color w:val="auto"/>
                <w:sz w:val="24"/>
                <w:szCs w:val="24"/>
              </w:rPr>
            </w:pPr>
            <w:r>
              <w:rPr>
                <w:rFonts w:hint="eastAsia" w:ascii="宋体" w:hAnsi="宋体" w:eastAsia="宋体" w:cs="宋体"/>
                <w:color w:val="auto"/>
                <w:sz w:val="24"/>
                <w:szCs w:val="24"/>
              </w:rPr>
              <w:t>可酌情调整台式与便携比例</w:t>
            </w:r>
          </w:p>
        </w:tc>
        <w:tc>
          <w:tcPr>
            <w:tcW w:w="321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71B3B7A0">
            <w:pPr>
              <w:pStyle w:val="26"/>
              <w:snapToGrid w:val="0"/>
              <w:ind w:left="0" w:leftChars="0" w:right="0" w:rightChars="0" w:firstLine="0" w:firstLineChars="0"/>
              <w:jc w:val="right"/>
              <w:rPr>
                <w:rFonts w:hint="eastAsia" w:ascii="宋体" w:hAnsi="宋体" w:eastAsia="宋体" w:cs="宋体"/>
                <w:color w:val="auto"/>
                <w:sz w:val="24"/>
                <w:szCs w:val="24"/>
              </w:rPr>
            </w:pPr>
            <w:r>
              <w:rPr>
                <w:rFonts w:hint="eastAsia" w:ascii="宋体" w:hAnsi="宋体" w:eastAsia="宋体" w:cs="宋体"/>
                <w:color w:val="auto"/>
                <w:sz w:val="24"/>
                <w:szCs w:val="24"/>
              </w:rPr>
              <w:t>保留，且明确须在人均数量上限内调整</w:t>
            </w:r>
          </w:p>
        </w:tc>
        <w:tc>
          <w:tcPr>
            <w:tcW w:w="232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78788D9">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口径收紧</w:t>
            </w:r>
          </w:p>
        </w:tc>
      </w:tr>
      <w:bookmarkEnd w:id="4"/>
    </w:tbl>
    <w:p w14:paraId="4884D185">
      <w:pPr>
        <w:pStyle w:val="5"/>
        <w:rPr>
          <w:rFonts w:hint="eastAsia" w:ascii="宋体" w:hAnsi="宋体" w:eastAsia="宋体" w:cs="宋体"/>
          <w:color w:val="auto"/>
          <w:sz w:val="24"/>
          <w:szCs w:val="24"/>
        </w:rPr>
      </w:pPr>
      <w:bookmarkStart w:id="5" w:name="二打印复印扫描传真设备"/>
      <w:r>
        <w:rPr>
          <w:rFonts w:hint="eastAsia" w:ascii="宋体" w:hAnsi="宋体" w:eastAsia="宋体" w:cs="宋体"/>
          <w:color w:val="auto"/>
          <w:sz w:val="24"/>
          <w:szCs w:val="24"/>
        </w:rPr>
        <w:t>（二）打印/复印/扫描/传真设备</w:t>
      </w:r>
    </w:p>
    <w:tbl>
      <w:tblPr>
        <w:tblStyle w:val="43"/>
        <w:tblW w:w="8923" w:type="dxa"/>
        <w:jc w:val="center"/>
        <w:tblLayout w:type="autofit"/>
        <w:tblCellMar>
          <w:top w:w="0" w:type="dxa"/>
          <w:left w:w="108" w:type="dxa"/>
          <w:bottom w:w="0" w:type="dxa"/>
          <w:right w:w="108" w:type="dxa"/>
        </w:tblCellMar>
      </w:tblPr>
      <w:tblGrid>
        <w:gridCol w:w="1416"/>
        <w:gridCol w:w="2933"/>
        <w:gridCol w:w="3098"/>
        <w:gridCol w:w="1476"/>
      </w:tblGrid>
      <w:tr w14:paraId="6F878658">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34092CD">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资产品目</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30262632">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2018版</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0BB4EAC">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2026版</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1E6E8A4">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变化</w:t>
            </w:r>
          </w:p>
        </w:tc>
      </w:tr>
      <w:tr w14:paraId="4F6881BE">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6F8E5FE5">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打印机总量上限</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55E88770">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不超过编制内实有人数</w:t>
            </w:r>
            <w:r>
              <w:rPr>
                <w:rFonts w:hint="eastAsia" w:ascii="宋体" w:hAnsi="宋体" w:eastAsia="宋体" w:cs="宋体"/>
                <w:b/>
                <w:bCs/>
                <w:color w:val="auto"/>
                <w:sz w:val="24"/>
                <w:szCs w:val="24"/>
              </w:rPr>
              <w:t>80%</w:t>
            </w:r>
            <w:r>
              <w:rPr>
                <w:rFonts w:hint="eastAsia" w:ascii="宋体" w:hAnsi="宋体" w:eastAsia="宋体" w:cs="宋体"/>
                <w:color w:val="auto"/>
                <w:sz w:val="24"/>
                <w:szCs w:val="24"/>
              </w:rPr>
              <w:t>，其中A3按15%计算</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75E28ED">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不超过编制内实有人数</w:t>
            </w:r>
            <w:r>
              <w:rPr>
                <w:rFonts w:hint="eastAsia" w:ascii="宋体" w:hAnsi="宋体" w:eastAsia="宋体" w:cs="宋体"/>
                <w:b/>
                <w:bCs/>
                <w:color w:val="auto"/>
                <w:sz w:val="24"/>
                <w:szCs w:val="24"/>
              </w:rPr>
              <w:t>45%</w:t>
            </w:r>
            <w:r>
              <w:rPr>
                <w:rFonts w:hint="eastAsia" w:ascii="宋体" w:hAnsi="宋体" w:eastAsia="宋体" w:cs="宋体"/>
                <w:color w:val="auto"/>
                <w:sz w:val="24"/>
                <w:szCs w:val="24"/>
              </w:rPr>
              <w:t>，其中A3按</w:t>
            </w:r>
            <w:r>
              <w:rPr>
                <w:rFonts w:hint="eastAsia" w:ascii="宋体" w:hAnsi="宋体" w:eastAsia="宋体" w:cs="宋体"/>
                <w:b/>
                <w:bCs/>
                <w:color w:val="auto"/>
                <w:sz w:val="24"/>
                <w:szCs w:val="24"/>
              </w:rPr>
              <w:t>10%</w:t>
            </w:r>
            <w:r>
              <w:rPr>
                <w:rFonts w:hint="eastAsia" w:ascii="宋体" w:hAnsi="宋体" w:eastAsia="宋体" w:cs="宋体"/>
                <w:color w:val="auto"/>
                <w:sz w:val="24"/>
                <w:szCs w:val="24"/>
              </w:rPr>
              <w:t>计算</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C1830C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大幅收紧</w:t>
            </w:r>
          </w:p>
        </w:tc>
      </w:tr>
      <w:tr w14:paraId="4F52BAC3">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2B0C568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A4黑白/彩色打印机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17CCFFA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1500元／4000元，6年</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C61F74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1500元／4000元，7年</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12194D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价格不变，年限+1</w:t>
            </w:r>
          </w:p>
        </w:tc>
      </w:tr>
      <w:tr w14:paraId="751651F0">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2284FDE4">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A3黑白/彩色打印机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0C10C5F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7600元／15000元，6年</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6A06000">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7600元／15000元，7年</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CCC4E3D">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价格不变，年限+1</w:t>
            </w:r>
          </w:p>
        </w:tc>
      </w:tr>
      <w:tr w14:paraId="1DBE95AD">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682FFBA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票据打印机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36E2EAB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4000元，6年</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84A340C">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票据/条码打印机4000元，7年</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655870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年限+1</w:t>
            </w:r>
          </w:p>
        </w:tc>
      </w:tr>
      <w:tr w14:paraId="739566FF">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0854C5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便携式打印机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5503EA8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D81335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新增：2000元/台，7年；60人以下单位配2台，60人以上≤实有人数6%</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8B23ED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5EFC6A80">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51680F6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高速复印机（文印室专用）</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E99C0F6">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黑白8万、彩色12万；300人以上厅级单位≤2台（彩色≤1台），300人以下≤1台；6年或复印30万张</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07DDB2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黑白</w:t>
            </w:r>
            <w:r>
              <w:rPr>
                <w:rFonts w:hint="eastAsia" w:ascii="宋体" w:hAnsi="宋体" w:eastAsia="宋体" w:cs="宋体"/>
                <w:b/>
                <w:bCs/>
                <w:color w:val="auto"/>
                <w:sz w:val="24"/>
                <w:szCs w:val="24"/>
              </w:rPr>
              <w:t>7万</w:t>
            </w:r>
            <w:r>
              <w:rPr>
                <w:rFonts w:hint="eastAsia" w:ascii="宋体" w:hAnsi="宋体" w:eastAsia="宋体" w:cs="宋体"/>
                <w:color w:val="auto"/>
                <w:sz w:val="24"/>
                <w:szCs w:val="24"/>
              </w:rPr>
              <w:t>、彩色</w:t>
            </w:r>
            <w:r>
              <w:rPr>
                <w:rFonts w:hint="eastAsia" w:ascii="宋体" w:hAnsi="宋体" w:eastAsia="宋体" w:cs="宋体"/>
                <w:b/>
                <w:bCs/>
                <w:color w:val="auto"/>
                <w:sz w:val="24"/>
                <w:szCs w:val="24"/>
              </w:rPr>
              <w:t>10万</w:t>
            </w:r>
            <w:r>
              <w:rPr>
                <w:rFonts w:hint="eastAsia" w:ascii="宋体" w:hAnsi="宋体" w:eastAsia="宋体" w:cs="宋体"/>
                <w:color w:val="auto"/>
                <w:sz w:val="24"/>
                <w:szCs w:val="24"/>
              </w:rPr>
              <w:t>；编制内实有人数80—200人可配1台、200人以上可配2台（彩色≤1台）；</w:t>
            </w:r>
            <w:r>
              <w:rPr>
                <w:rFonts w:hint="eastAsia" w:ascii="宋体" w:hAnsi="宋体" w:eastAsia="宋体" w:cs="宋体"/>
                <w:b/>
                <w:bCs/>
                <w:color w:val="auto"/>
                <w:sz w:val="24"/>
                <w:szCs w:val="24"/>
              </w:rPr>
              <w:t>7年</w:t>
            </w:r>
            <w:r>
              <w:rPr>
                <w:rFonts w:hint="eastAsia" w:ascii="宋体" w:hAnsi="宋体" w:eastAsia="宋体" w:cs="宋体"/>
                <w:color w:val="auto"/>
                <w:sz w:val="24"/>
                <w:szCs w:val="24"/>
              </w:rPr>
              <w:t>或复印30万张</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457CD75">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价格上限下调，人数分档标准调整，年限+1</w:t>
            </w:r>
          </w:p>
        </w:tc>
      </w:tr>
      <w:tr w14:paraId="10519FFF">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057C413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普通复印机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65AE916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黑白总数≤10%（2万），彩色≤3%（4万），6年或30万张</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283DD1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黑白总数≤</w:t>
            </w:r>
            <w:r>
              <w:rPr>
                <w:rFonts w:hint="eastAsia" w:ascii="宋体" w:hAnsi="宋体" w:eastAsia="宋体" w:cs="宋体"/>
                <w:b/>
                <w:bCs/>
                <w:color w:val="auto"/>
                <w:sz w:val="24"/>
                <w:szCs w:val="24"/>
              </w:rPr>
              <w:t>8%</w:t>
            </w:r>
            <w:r>
              <w:rPr>
                <w:rFonts w:hint="eastAsia" w:ascii="宋体" w:hAnsi="宋体" w:eastAsia="宋体" w:cs="宋体"/>
                <w:color w:val="auto"/>
                <w:sz w:val="24"/>
                <w:szCs w:val="24"/>
              </w:rPr>
              <w:t>（2万），彩色≤3%（4万）；新增”处（室）实有人数≥5人可配1台”；</w:t>
            </w:r>
            <w:r>
              <w:rPr>
                <w:rFonts w:hint="eastAsia" w:ascii="宋体" w:hAnsi="宋体" w:eastAsia="宋体" w:cs="宋体"/>
                <w:b/>
                <w:bCs/>
                <w:color w:val="auto"/>
                <w:sz w:val="24"/>
                <w:szCs w:val="24"/>
              </w:rPr>
              <w:t>7年</w:t>
            </w:r>
            <w:r>
              <w:rPr>
                <w:rFonts w:hint="eastAsia" w:ascii="宋体" w:hAnsi="宋体" w:eastAsia="宋体" w:cs="宋体"/>
                <w:color w:val="auto"/>
                <w:sz w:val="24"/>
                <w:szCs w:val="24"/>
              </w:rPr>
              <w:t>或30万张</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1A2A3D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总量收紧，年限+1</w:t>
            </w:r>
          </w:p>
        </w:tc>
      </w:tr>
      <w:tr w14:paraId="2A0DD8A7">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5289A8C0">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扫描仪</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512933F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≤5%，4000元，6年</w:t>
            </w:r>
          </w:p>
        </w:tc>
        <w:tc>
          <w:tcPr>
            <w:tcW w:w="30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787F23A">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≤5%，4000元，7年；新增”配备复印机、多功能一体机应相应减少数量”；分普通平板/便携式</w:t>
            </w:r>
          </w:p>
        </w:tc>
        <w:tc>
          <w:tcPr>
            <w:tcW w:w="1476"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D76951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年限+1，联动扣减</w:t>
            </w:r>
          </w:p>
        </w:tc>
      </w:tr>
      <w:tr w14:paraId="149CC758">
        <w:tblPrEx>
          <w:tblCellMar>
            <w:top w:w="0" w:type="dxa"/>
            <w:left w:w="108" w:type="dxa"/>
            <w:bottom w:w="0" w:type="dxa"/>
            <w:right w:w="108" w:type="dxa"/>
          </w:tblCellMar>
        </w:tblPrEx>
        <w:trPr>
          <w:trHeight w:val="0" w:hRule="atLeast"/>
          <w:jc w:val="center"/>
        </w:trPr>
        <w:tc>
          <w:tcPr>
            <w:tcW w:w="141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02AE93BD">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传真机/多功能一体机</w:t>
            </w:r>
          </w:p>
        </w:tc>
        <w:tc>
          <w:tcPr>
            <w:tcW w:w="2933"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54E52B49">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总数≤30%，3000元，6年；配一体机需扣减打印机总数</w:t>
            </w:r>
          </w:p>
        </w:tc>
        <w:tc>
          <w:tcPr>
            <w:tcW w:w="3098"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199E74F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每个内设机构（处、室）可配1台</w:t>
            </w:r>
            <w:r>
              <w:rPr>
                <w:rFonts w:hint="eastAsia" w:ascii="宋体" w:hAnsi="宋体" w:eastAsia="宋体" w:cs="宋体"/>
                <w:color w:val="auto"/>
                <w:sz w:val="24"/>
                <w:szCs w:val="24"/>
              </w:rPr>
              <w:t>，2500元，7年</w:t>
            </w:r>
          </w:p>
        </w:tc>
        <w:tc>
          <w:tcPr>
            <w:tcW w:w="1476"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739397E5">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数量口径改为按机构计，价格降500元</w:t>
            </w:r>
          </w:p>
        </w:tc>
      </w:tr>
      <w:bookmarkEnd w:id="5"/>
    </w:tbl>
    <w:p w14:paraId="31EEF335">
      <w:pPr>
        <w:pStyle w:val="5"/>
        <w:rPr>
          <w:rFonts w:hint="eastAsia" w:ascii="宋体" w:hAnsi="宋体" w:eastAsia="宋体" w:cs="宋体"/>
          <w:color w:val="auto"/>
          <w:sz w:val="24"/>
          <w:szCs w:val="24"/>
        </w:rPr>
      </w:pPr>
      <w:bookmarkStart w:id="6" w:name="三其他设备"/>
      <w:r>
        <w:rPr>
          <w:rFonts w:hint="eastAsia" w:ascii="宋体" w:hAnsi="宋体" w:eastAsia="宋体" w:cs="宋体"/>
          <w:color w:val="auto"/>
          <w:sz w:val="24"/>
          <w:szCs w:val="24"/>
        </w:rPr>
        <w:t>（三）其他设备</w:t>
      </w:r>
    </w:p>
    <w:tbl>
      <w:tblPr>
        <w:tblStyle w:val="43"/>
        <w:tblW w:w="8899" w:type="dxa"/>
        <w:jc w:val="center"/>
        <w:tblLayout w:type="autofit"/>
        <w:tblCellMar>
          <w:top w:w="0" w:type="dxa"/>
          <w:left w:w="108" w:type="dxa"/>
          <w:bottom w:w="0" w:type="dxa"/>
          <w:right w:w="108" w:type="dxa"/>
        </w:tblCellMar>
      </w:tblPr>
      <w:tblGrid>
        <w:gridCol w:w="1896"/>
        <w:gridCol w:w="2447"/>
        <w:gridCol w:w="3216"/>
        <w:gridCol w:w="1340"/>
      </w:tblGrid>
      <w:tr w14:paraId="6214C244">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3766A844">
            <w:pPr>
              <w:pStyle w:val="26"/>
              <w:keepNext/>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资产品目</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11A771F">
            <w:pPr>
              <w:pStyle w:val="26"/>
              <w:keepNext/>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2018版</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3E8F2F9">
            <w:pPr>
              <w:pStyle w:val="26"/>
              <w:keepNext/>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2026版</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329991D">
            <w:pPr>
              <w:pStyle w:val="26"/>
              <w:keepNext/>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变化</w:t>
            </w:r>
          </w:p>
        </w:tc>
      </w:tr>
      <w:tr w14:paraId="0102F101">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282C1A80">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碎纸机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298507D1">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1台/处室，总数≤编制人数20%，1000元，6年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3104BC">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每个内设机构（处、室）可配1台，保密文秘档案财务等部门可单独配置，1000元，6年；取消20%总量上限表述</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E5A0CD2">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口径调整</w:t>
            </w:r>
          </w:p>
        </w:tc>
      </w:tr>
      <w:tr w14:paraId="4DF54CE6">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304EC8ED">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光盘粉碎机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6C191FEE">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39978DE">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新增：保密、文秘、档案、财务等部门按需单独配置，1000元，6年（与碎纸机同归”销毁设备”）</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03A90E2">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3443A114">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65AAF9DA">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电话机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6C5FA724">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按需，200元，6年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B9E11C0">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按需，200元，6年</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5CE3D60">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不变</w:t>
            </w:r>
          </w:p>
        </w:tc>
      </w:tr>
      <w:tr w14:paraId="1CE6D002">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1FDD532D">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投影仪</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1121DA48">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总数≤3%，15000元，10年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1CB962D">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分档：便携式≤3%、8000元；固定式限80㎡以上会议室配1台、20000元；均10年</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9F844FB">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结构细化，便携机价格上限低于原标准</w:t>
            </w:r>
          </w:p>
        </w:tc>
      </w:tr>
      <w:tr w14:paraId="6AFCADF7">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ADF7A49">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照相机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3C0DC046">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单反（含镜头）25000元，厅级≤2台/厅级以下≤1台，8年；普通相机≤5%、5000元，8年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D87118">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单反20000元（数量同前），8年；通用照相机≤</w:t>
            </w:r>
            <w:r>
              <w:rPr>
                <w:rFonts w:hint="eastAsia" w:ascii="宋体" w:hAnsi="宋体" w:eastAsia="宋体" w:cs="宋体"/>
                <w:b/>
                <w:bCs/>
                <w:color w:val="auto"/>
                <w:sz w:val="24"/>
                <w:szCs w:val="24"/>
              </w:rPr>
              <w:t>3%</w:t>
            </w:r>
            <w:r>
              <w:rPr>
                <w:rFonts w:hint="eastAsia" w:ascii="宋体" w:hAnsi="宋体" w:eastAsia="宋体" w:cs="宋体"/>
                <w:color w:val="auto"/>
                <w:sz w:val="24"/>
                <w:szCs w:val="24"/>
              </w:rPr>
              <w:t>、5000元，8年</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AD65A1A">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单反降5000元，普通相机比例收紧</w:t>
            </w:r>
          </w:p>
        </w:tc>
      </w:tr>
      <w:tr w14:paraId="73F33657">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141A600">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数码摄影机/手持云台</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F00CA75">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D078F0E">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新增：厅级单位新闻宣传部门单设的可配1套，20000元，10年</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7662CEC">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35AC9555">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23D08356">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录音笔</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03E335F3">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CE70CFA">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新增：严格控制、按需配备，2000元，8年</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F94D003">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0EE0A331">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466F8844">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会议室音响设备</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0AC7A949">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DB15091">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新增：小型（30—50㎡）30000元、中型（50—100㎡）60000元、大型（100㎡以上每50㎡不超30000元）；10年；30㎡及以下会议室原则上不配音响及多媒体系统</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E78562A">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327D9960">
        <w:tblPrEx>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692299C5">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电视机</w:t>
            </w:r>
          </w:p>
        </w:tc>
        <w:tc>
          <w:tcPr>
            <w:tcW w:w="0" w:type="auto"/>
            <w:tcBorders>
              <w:top w:val="single" w:color="auto" w:sz="4" w:space="0"/>
              <w:left w:val="single" w:color="auto" w:sz="4" w:space="0"/>
              <w:bottom w:val="nil"/>
              <w:right w:val="nil"/>
            </w:tcBorders>
            <w:noWrap w:val="0"/>
            <w:tcMar>
              <w:top w:w="-1" w:type="dxa"/>
              <w:left w:w="-1" w:type="dxa"/>
              <w:bottom w:w="-1" w:type="dxa"/>
              <w:right w:w="-1" w:type="dxa"/>
            </w:tcMar>
            <w:vAlign w:val="center"/>
          </w:tcPr>
          <w:p w14:paraId="1A93C221">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会议室专用，按需，5000元，8年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9E657EB">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会议室、值班室等按需，5000元，8年</w:t>
            </w:r>
          </w:p>
        </w:tc>
        <w:tc>
          <w:tcPr>
            <w:tcW w:w="134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1AC9153">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基本不变</w:t>
            </w:r>
          </w:p>
        </w:tc>
      </w:tr>
      <w:tr w14:paraId="39CDAE63">
        <w:tblPrEx>
          <w:tblCellMar>
            <w:top w:w="0" w:type="dxa"/>
            <w:left w:w="108" w:type="dxa"/>
            <w:bottom w:w="0" w:type="dxa"/>
            <w:right w:w="108" w:type="dxa"/>
          </w:tblCellMar>
        </w:tblPrEx>
        <w:trPr>
          <w:trHeight w:val="0" w:hRule="atLeast"/>
          <w:jc w:val="center"/>
        </w:trPr>
        <w:tc>
          <w:tcPr>
            <w:tcW w:w="189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2A310C5F">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其他办公设备</w:t>
            </w:r>
          </w:p>
        </w:tc>
        <w:tc>
          <w:tcPr>
            <w:tcW w:w="2447"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2C3B1E09">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兜底条款：经财政部门批准后按业务需要配置</w:t>
            </w:r>
          </w:p>
        </w:tc>
        <w:tc>
          <w:tcPr>
            <w:tcW w:w="321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77EE5515">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取消兜底品目，改为”未列入本标准的按与履职需要相适应原则从严控制”</w:t>
            </w:r>
          </w:p>
        </w:tc>
        <w:tc>
          <w:tcPr>
            <w:tcW w:w="134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6D93C32A">
            <w:pPr>
              <w:pStyle w:val="26"/>
              <w:keepNext/>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兜底转严控</w:t>
            </w:r>
          </w:p>
        </w:tc>
      </w:tr>
      <w:bookmarkEnd w:id="3"/>
      <w:bookmarkEnd w:id="6"/>
    </w:tbl>
    <w:p w14:paraId="346E5FE2">
      <w:pPr>
        <w:pStyle w:val="4"/>
        <w:rPr>
          <w:rFonts w:hint="eastAsia" w:ascii="宋体" w:hAnsi="宋体" w:eastAsia="宋体" w:cs="宋体"/>
          <w:color w:val="auto"/>
          <w:sz w:val="24"/>
          <w:szCs w:val="24"/>
        </w:rPr>
      </w:pPr>
      <w:bookmarkStart w:id="7" w:name="四通用办公家具配置标准对比"/>
      <w:r>
        <w:rPr>
          <w:rFonts w:hint="eastAsia" w:ascii="宋体" w:hAnsi="宋体" w:eastAsia="宋体" w:cs="宋体"/>
          <w:color w:val="auto"/>
          <w:sz w:val="24"/>
          <w:szCs w:val="24"/>
        </w:rPr>
        <w:t>四、通用办公家具配置标准对比</w:t>
      </w:r>
    </w:p>
    <w:tbl>
      <w:tblPr>
        <w:tblStyle w:val="43"/>
        <w:tblW w:w="9298" w:type="dxa"/>
        <w:jc w:val="center"/>
        <w:tblLayout w:type="autofit"/>
        <w:tblCellMar>
          <w:top w:w="0" w:type="dxa"/>
          <w:left w:w="108" w:type="dxa"/>
          <w:bottom w:w="0" w:type="dxa"/>
          <w:right w:w="108" w:type="dxa"/>
        </w:tblCellMar>
      </w:tblPr>
      <w:tblGrid>
        <w:gridCol w:w="1656"/>
        <w:gridCol w:w="3216"/>
        <w:gridCol w:w="3216"/>
        <w:gridCol w:w="1210"/>
      </w:tblGrid>
      <w:tr w14:paraId="20D19FF1">
        <w:tblPrEx>
          <w:tblCellMar>
            <w:top w:w="0" w:type="dxa"/>
            <w:left w:w="108" w:type="dxa"/>
            <w:bottom w:w="0" w:type="dxa"/>
            <w:right w:w="108" w:type="dxa"/>
          </w:tblCellMar>
        </w:tblPrEx>
        <w:trPr>
          <w:trHeight w:val="0" w:hRule="atLeast"/>
          <w:tblHeader/>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1A5C397">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资产品目</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26A7E2D">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2018版</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51E5DB2">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2026版</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2EAC09F">
            <w:pPr>
              <w:pStyle w:val="26"/>
              <w:snapToGrid w:val="0"/>
              <w:ind w:left="0" w:leftChars="0" w:right="0" w:rightChars="0" w:firstLine="0" w:firstLineChars="0"/>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变化</w:t>
            </w:r>
          </w:p>
        </w:tc>
      </w:tr>
      <w:tr w14:paraId="6194EEFC">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FC3759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办公桌</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4E0995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1套/人；厅级4000、处级及以下2500；15年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C3A2466">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同左</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C5615B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不变</w:t>
            </w:r>
          </w:p>
        </w:tc>
      </w:tr>
      <w:tr w14:paraId="14099EB0">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37B31E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办公椅</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807D6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厅级1500、处级及以下800；10年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EC9B2A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同左</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9478DA4">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不变</w:t>
            </w:r>
          </w:p>
        </w:tc>
      </w:tr>
      <w:tr w14:paraId="106E7321">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3464E8C">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桌前椅</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1611A06">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1把/办公室，800元，10年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0C3685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b/>
                <w:bCs/>
                <w:color w:val="auto"/>
                <w:sz w:val="24"/>
                <w:szCs w:val="24"/>
              </w:rPr>
              <w:t>厅级及处级以上每个办公室配2把</w:t>
            </w:r>
            <w:r>
              <w:rPr>
                <w:rFonts w:hint="eastAsia" w:ascii="宋体" w:hAnsi="宋体" w:eastAsia="宋体" w:cs="宋体"/>
                <w:color w:val="auto"/>
                <w:sz w:val="24"/>
                <w:szCs w:val="24"/>
              </w:rPr>
              <w:t>，600元，10年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CAB9AB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单价降200元，数量口径调整</w:t>
            </w:r>
          </w:p>
        </w:tc>
      </w:tr>
      <w:tr w14:paraId="7562479E">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8389FB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单人折叠椅</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A2E85C0">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E8A24A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新增：按需配置，150元，10年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2418914">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216D049E">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B604319">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沙发</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197A99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三人：厅级3000/处级及以下2000；单人：厅级1500/处级及以下1000；数量按”处级及以下1个三人或2个单人、厅级1个三人+2个单人”；10年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1EBF3D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三人沙发价格不变；</w:t>
            </w:r>
            <w:r>
              <w:rPr>
                <w:rFonts w:hint="eastAsia" w:ascii="宋体" w:hAnsi="宋体" w:eastAsia="宋体" w:cs="宋体"/>
                <w:b/>
                <w:bCs/>
                <w:color w:val="auto"/>
                <w:sz w:val="24"/>
                <w:szCs w:val="24"/>
              </w:rPr>
              <w:t>新增双人沙发</w:t>
            </w:r>
            <w:r>
              <w:rPr>
                <w:rFonts w:hint="eastAsia" w:ascii="宋体" w:hAnsi="宋体" w:eastAsia="宋体" w:cs="宋体"/>
                <w:color w:val="auto"/>
                <w:sz w:val="24"/>
                <w:szCs w:val="24"/>
              </w:rPr>
              <w:t>（厅级1900/处级及以下1500）；数量改为”厅级办公室不超出5人位、处级及以下不超出3人位”；10年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F3B8C7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新增双人档位，数量改按总人位控制</w:t>
            </w:r>
          </w:p>
        </w:tc>
      </w:tr>
      <w:tr w14:paraId="46C8E14C">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EA71D8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茶几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77DD18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大茶几1000、小茶几800；15年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CC7F7CA">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茶几统一上限1000元；15年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21DD564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简化，小茶几上限提高至1000</w:t>
            </w:r>
          </w:p>
        </w:tc>
      </w:tr>
      <w:tr w14:paraId="252792ED">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64C3A3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书柜</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9FA1254">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厅级2组/人2000元、处级及以下1组/人1200元；</w:t>
            </w:r>
            <w:r>
              <w:rPr>
                <w:rFonts w:hint="eastAsia" w:ascii="宋体" w:hAnsi="宋体" w:eastAsia="宋体" w:cs="宋体"/>
                <w:b/>
                <w:bCs/>
                <w:color w:val="auto"/>
                <w:sz w:val="24"/>
                <w:szCs w:val="24"/>
              </w:rPr>
              <w:t>15年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4507B9C">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数量同前；处级及以下降为</w:t>
            </w:r>
            <w:r>
              <w:rPr>
                <w:rFonts w:hint="eastAsia" w:ascii="宋体" w:hAnsi="宋体" w:eastAsia="宋体" w:cs="宋体"/>
                <w:b/>
                <w:bCs/>
                <w:color w:val="auto"/>
                <w:sz w:val="24"/>
                <w:szCs w:val="24"/>
              </w:rPr>
              <w:t>1000元</w:t>
            </w:r>
            <w:r>
              <w:rPr>
                <w:rFonts w:hint="eastAsia" w:ascii="宋体" w:hAnsi="宋体" w:eastAsia="宋体" w:cs="宋体"/>
                <w:color w:val="auto"/>
                <w:sz w:val="24"/>
                <w:szCs w:val="24"/>
              </w:rPr>
              <w:t>；最低使用年限提高为</w:t>
            </w:r>
            <w:r>
              <w:rPr>
                <w:rFonts w:hint="eastAsia" w:ascii="宋体" w:hAnsi="宋体" w:eastAsia="宋体" w:cs="宋体"/>
                <w:b/>
                <w:bCs/>
                <w:color w:val="auto"/>
                <w:sz w:val="24"/>
                <w:szCs w:val="24"/>
              </w:rPr>
              <w:t>20年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5D6C0C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降价、延长年限</w:t>
            </w:r>
          </w:p>
        </w:tc>
      </w:tr>
      <w:tr w14:paraId="15194272">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E66F41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文件柜</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A95900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1组/人；厅级2000、处级及以下1000；20年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42D750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同左</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5CFA46C6">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不变</w:t>
            </w:r>
          </w:p>
        </w:tc>
      </w:tr>
      <w:tr w14:paraId="1D7F3B51">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2460A54">
            <w:pPr>
              <w:pStyle w:val="26"/>
              <w:snapToGrid w:val="0"/>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更衣柜</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430BDCE">
            <w:pPr>
              <w:pStyle w:val="26"/>
              <w:snapToGrid w:val="0"/>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无</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DDF67DC">
            <w:pPr>
              <w:pStyle w:val="26"/>
              <w:snapToGrid w:val="0"/>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新增：厅级及处级以上每办公室1组；厅级2000、处级1000；20年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1147E88D">
            <w:pPr>
              <w:pStyle w:val="26"/>
              <w:snapToGrid w:val="0"/>
              <w:ind w:left="0" w:leftChars="0" w:right="0" w:rightChars="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17C6E4DE">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E955249">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茶水柜</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897420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1组/办公室，1500元，20年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A606CBB">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同左</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7FC705F">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不变</w:t>
            </w:r>
          </w:p>
        </w:tc>
      </w:tr>
      <w:tr w14:paraId="2EAB1E4D">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206D49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保险箱（密码文件柜）</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ACA4E4D">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按需，3500元，20年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D3D6105">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更名”保密柜（保险箱）“，按需，</w:t>
            </w:r>
            <w:r>
              <w:rPr>
                <w:rFonts w:hint="eastAsia" w:ascii="宋体" w:hAnsi="宋体" w:eastAsia="宋体" w:cs="宋体"/>
                <w:b/>
                <w:bCs/>
                <w:color w:val="auto"/>
                <w:sz w:val="24"/>
                <w:szCs w:val="24"/>
              </w:rPr>
              <w:t>3000元</w:t>
            </w:r>
            <w:r>
              <w:rPr>
                <w:rFonts w:hint="eastAsia" w:ascii="宋体" w:hAnsi="宋体" w:eastAsia="宋体" w:cs="宋体"/>
                <w:color w:val="auto"/>
                <w:sz w:val="24"/>
                <w:szCs w:val="24"/>
              </w:rPr>
              <w:t>，20年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E2956EE">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降价500元，更名</w:t>
            </w:r>
          </w:p>
        </w:tc>
      </w:tr>
      <w:tr w14:paraId="737F2735">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B72708C">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会议桌</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53B3475">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≤50㎡按1600元/㎡、50—100㎡按1200元/㎡、100㎡以上按1000元/㎡；</w:t>
            </w:r>
            <w:r>
              <w:rPr>
                <w:rFonts w:hint="eastAsia" w:ascii="宋体" w:hAnsi="宋体" w:eastAsia="宋体" w:cs="宋体"/>
                <w:b/>
                <w:bCs/>
                <w:color w:val="auto"/>
                <w:sz w:val="24"/>
                <w:szCs w:val="24"/>
              </w:rPr>
              <w:t>20年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EB8CFD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单价标准不变；最低使用年限降为</w:t>
            </w:r>
            <w:r>
              <w:rPr>
                <w:rFonts w:hint="eastAsia" w:ascii="宋体" w:hAnsi="宋体" w:eastAsia="宋体" w:cs="宋体"/>
                <w:b/>
                <w:bCs/>
                <w:color w:val="auto"/>
                <w:sz w:val="24"/>
                <w:szCs w:val="24"/>
              </w:rPr>
              <w:t>15年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7C5FA0E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年限调整</w:t>
            </w:r>
          </w:p>
        </w:tc>
      </w:tr>
      <w:tr w14:paraId="6B5F8A33">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302145B1">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会议椅</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F4F3059">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按会议室面积配置，800元，10年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99E5A4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同口径，</w:t>
            </w:r>
            <w:r>
              <w:rPr>
                <w:rFonts w:hint="eastAsia" w:ascii="宋体" w:hAnsi="宋体" w:eastAsia="宋体" w:cs="宋体"/>
                <w:b/>
                <w:bCs/>
                <w:color w:val="auto"/>
                <w:sz w:val="24"/>
                <w:szCs w:val="24"/>
              </w:rPr>
              <w:t>600元</w:t>
            </w:r>
            <w:r>
              <w:rPr>
                <w:rFonts w:hint="eastAsia" w:ascii="宋体" w:hAnsi="宋体" w:eastAsia="宋体" w:cs="宋体"/>
                <w:color w:val="auto"/>
                <w:sz w:val="24"/>
                <w:szCs w:val="24"/>
              </w:rPr>
              <w:t>，10年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4C4FB6D9">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降价200元</w:t>
            </w:r>
          </w:p>
        </w:tc>
      </w:tr>
      <w:tr w14:paraId="4637E6C8">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599F9254">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饮水机</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CB63A7C">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1台/办公室或会议室，1000元，6年</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B1D6AD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同左</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3B29251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不变</w:t>
            </w:r>
          </w:p>
        </w:tc>
      </w:tr>
      <w:tr w14:paraId="2C2FAB7A">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1538ED36">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接待室家具</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365A6E2">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无单列</w:t>
            </w:r>
          </w:p>
        </w:tc>
        <w:tc>
          <w:tcPr>
            <w:tcW w:w="3216"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BBA2877">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新增：接待室沙发（按面积配置，上限2500元）、接待室茶几（上限1000元），15年</w:t>
            </w:r>
          </w:p>
        </w:tc>
        <w:tc>
          <w:tcPr>
            <w:tcW w:w="1210" w:type="dxa"/>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6115FFCA">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新增品目</w:t>
            </w:r>
          </w:p>
        </w:tc>
      </w:tr>
      <w:tr w14:paraId="6E48C458">
        <w:tblPrEx>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2A0667D3">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性能要求</w:t>
            </w:r>
          </w:p>
        </w:tc>
        <w:tc>
          <w:tcPr>
            <w:tcW w:w="321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6E08CE99">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充分考虑办公布局，简朴实用，“不得配置豪华家具，不得使用名贵木材”</w:t>
            </w:r>
          </w:p>
        </w:tc>
        <w:tc>
          <w:tcPr>
            <w:tcW w:w="3216" w:type="dxa"/>
            <w:tcBorders>
              <w:top w:val="single" w:color="auto" w:sz="4" w:space="0"/>
              <w:left w:val="single" w:color="auto" w:sz="4" w:space="0"/>
              <w:bottom w:val="single" w:color="auto" w:sz="4" w:space="0"/>
              <w:right w:val="nil"/>
            </w:tcBorders>
            <w:noWrap w:val="0"/>
            <w:tcMar>
              <w:top w:w="-1" w:type="dxa"/>
              <w:left w:w="-1" w:type="dxa"/>
              <w:bottom w:w="-1" w:type="dxa"/>
              <w:right w:w="-1" w:type="dxa"/>
            </w:tcMar>
            <w:vAlign w:val="center"/>
          </w:tcPr>
          <w:p w14:paraId="5C200D00">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表述强化为”</w:t>
            </w:r>
            <w:r>
              <w:rPr>
                <w:rFonts w:hint="eastAsia" w:ascii="宋体" w:hAnsi="宋体" w:eastAsia="宋体" w:cs="宋体"/>
                <w:b/>
                <w:bCs/>
                <w:color w:val="auto"/>
                <w:sz w:val="24"/>
                <w:szCs w:val="24"/>
              </w:rPr>
              <w:t>严禁</w:t>
            </w:r>
            <w:r>
              <w:rPr>
                <w:rFonts w:hint="eastAsia" w:ascii="宋体" w:hAnsi="宋体" w:eastAsia="宋体" w:cs="宋体"/>
                <w:color w:val="auto"/>
                <w:sz w:val="24"/>
                <w:szCs w:val="24"/>
              </w:rPr>
              <w:t>使用名贵木材、</w:t>
            </w:r>
            <w:r>
              <w:rPr>
                <w:rFonts w:hint="eastAsia" w:ascii="宋体" w:hAnsi="宋体" w:eastAsia="宋体" w:cs="宋体"/>
                <w:b/>
                <w:bCs/>
                <w:color w:val="auto"/>
                <w:sz w:val="24"/>
                <w:szCs w:val="24"/>
              </w:rPr>
              <w:t>配置</w:t>
            </w:r>
            <w:r>
              <w:rPr>
                <w:rFonts w:hint="eastAsia" w:ascii="宋体" w:hAnsi="宋体" w:eastAsia="宋体" w:cs="宋体"/>
                <w:color w:val="auto"/>
                <w:sz w:val="24"/>
                <w:szCs w:val="24"/>
              </w:rPr>
              <w:t>豪华家具”</w:t>
            </w:r>
          </w:p>
        </w:tc>
        <w:tc>
          <w:tcPr>
            <w:tcW w:w="1210" w:type="dxa"/>
            <w:tcBorders>
              <w:top w:val="single" w:color="auto" w:sz="4" w:space="0"/>
              <w:left w:val="single" w:color="auto" w:sz="4" w:space="0"/>
              <w:bottom w:val="single" w:color="auto" w:sz="4" w:space="0"/>
              <w:right w:val="single" w:color="auto" w:sz="4" w:space="0"/>
            </w:tcBorders>
            <w:noWrap w:val="0"/>
            <w:tcMar>
              <w:top w:w="-1" w:type="dxa"/>
              <w:left w:w="-1" w:type="dxa"/>
              <w:bottom w:w="-1" w:type="dxa"/>
              <w:right w:w="-1" w:type="dxa"/>
            </w:tcMar>
            <w:vAlign w:val="center"/>
          </w:tcPr>
          <w:p w14:paraId="22848DA8">
            <w:pPr>
              <w:pStyle w:val="26"/>
              <w:snapToGrid w:val="0"/>
              <w:ind w:left="0" w:leftChars="0" w:right="0" w:rightChars="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措辞趋严</w:t>
            </w:r>
          </w:p>
        </w:tc>
      </w:tr>
      <w:bookmarkEnd w:id="7"/>
    </w:tbl>
    <w:p w14:paraId="35B0BADB">
      <w:pPr>
        <w:pStyle w:val="4"/>
        <w:rPr>
          <w:rFonts w:hint="eastAsia" w:ascii="宋体" w:hAnsi="宋体" w:eastAsia="宋体" w:cs="宋体"/>
          <w:color w:val="auto"/>
          <w:sz w:val="24"/>
          <w:szCs w:val="24"/>
        </w:rPr>
      </w:pPr>
      <w:bookmarkStart w:id="8" w:name="五新增的性能参考指引2026版独有"/>
      <w:r>
        <w:rPr>
          <w:rFonts w:hint="eastAsia" w:ascii="宋体" w:hAnsi="宋体" w:eastAsia="宋体" w:cs="宋体"/>
          <w:color w:val="auto"/>
          <w:sz w:val="24"/>
          <w:szCs w:val="24"/>
        </w:rPr>
        <w:t>五、新增的性能参考指引（2026版独有）</w:t>
      </w:r>
    </w:p>
    <w:p w14:paraId="5FBFC15E">
      <w:pPr>
        <w:pStyle w:val="25"/>
        <w:rPr>
          <w:rFonts w:hint="eastAsia" w:ascii="宋体" w:hAnsi="宋体" w:eastAsia="宋体" w:cs="宋体"/>
          <w:color w:val="auto"/>
          <w:sz w:val="24"/>
          <w:szCs w:val="24"/>
        </w:rPr>
      </w:pPr>
      <w:r>
        <w:rPr>
          <w:rFonts w:hint="eastAsia" w:ascii="宋体" w:hAnsi="宋体" w:eastAsia="宋体" w:cs="宋体"/>
          <w:color w:val="auto"/>
          <w:sz w:val="24"/>
          <w:szCs w:val="24"/>
        </w:rPr>
        <w:t>2026版首次随标准发布两类性能参考指引（参考性、非强制）：</w:t>
      </w:r>
    </w:p>
    <w:p w14:paraId="5A96EFFC">
      <w:pPr>
        <w:pStyle w:val="26"/>
        <w:numPr>
          <w:ilvl w:val="0"/>
          <w:numId w:val="2"/>
        </w:numPr>
        <w:rPr>
          <w:rFonts w:hint="eastAsia" w:ascii="宋体" w:hAnsi="宋体" w:eastAsia="宋体" w:cs="宋体"/>
          <w:color w:val="auto"/>
          <w:sz w:val="24"/>
          <w:szCs w:val="24"/>
        </w:rPr>
      </w:pPr>
      <w:r>
        <w:rPr>
          <w:rFonts w:hint="eastAsia" w:ascii="宋体" w:hAnsi="宋体" w:eastAsia="宋体" w:cs="宋体"/>
          <w:b/>
          <w:bCs/>
          <w:color w:val="auto"/>
          <w:sz w:val="24"/>
          <w:szCs w:val="24"/>
        </w:rPr>
        <w:t>办公计算机</w:t>
      </w:r>
      <w:r>
        <w:rPr>
          <w:rFonts w:hint="eastAsia" w:ascii="宋体" w:hAnsi="宋体" w:eastAsia="宋体" w:cs="宋体"/>
          <w:color w:val="auto"/>
          <w:sz w:val="24"/>
          <w:szCs w:val="24"/>
        </w:rPr>
        <w:t>：对台式/便携式的内存总容量及速率、固态盘数量及存储容量、机械硬盘数量及转速、显示屏尺寸及分辨率、操作系统等提出参考要求。</w:t>
      </w:r>
    </w:p>
    <w:p w14:paraId="5ED6E3A7">
      <w:pPr>
        <w:pStyle w:val="26"/>
        <w:numPr>
          <w:ilvl w:val="0"/>
          <w:numId w:val="2"/>
        </w:numPr>
        <w:rPr>
          <w:rFonts w:hint="eastAsia" w:ascii="宋体" w:hAnsi="宋体" w:eastAsia="宋体" w:cs="宋体"/>
          <w:color w:val="auto"/>
          <w:sz w:val="24"/>
          <w:szCs w:val="24"/>
        </w:rPr>
      </w:pPr>
      <w:r>
        <w:rPr>
          <w:rFonts w:hint="eastAsia" w:ascii="宋体" w:hAnsi="宋体" w:eastAsia="宋体" w:cs="宋体"/>
          <w:b/>
          <w:bCs/>
          <w:color w:val="auto"/>
          <w:sz w:val="24"/>
          <w:szCs w:val="24"/>
        </w:rPr>
        <w:t>激光打印机</w:t>
      </w:r>
      <w:r>
        <w:rPr>
          <w:rFonts w:hint="eastAsia" w:ascii="宋体" w:hAnsi="宋体" w:eastAsia="宋体" w:cs="宋体"/>
          <w:color w:val="auto"/>
          <w:sz w:val="24"/>
          <w:szCs w:val="24"/>
        </w:rPr>
        <w:t>：对分辨率、打印速度、月负荷等提出参考要求，并明确配套耗材打印成本参考上限——黑白打印A4不超0.1元/页、A3不超0.2元/页；彩色A4不超0.2元/页、A3不超0.4元/页。</w:t>
      </w:r>
    </w:p>
    <w:bookmarkEnd w:id="8"/>
    <w:p w14:paraId="4933DA29">
      <w:pPr>
        <w:pStyle w:val="4"/>
        <w:rPr>
          <w:rFonts w:hint="eastAsia" w:ascii="宋体" w:hAnsi="宋体" w:eastAsia="宋体" w:cs="宋体"/>
          <w:color w:val="auto"/>
          <w:sz w:val="24"/>
          <w:szCs w:val="24"/>
        </w:rPr>
      </w:pPr>
      <w:bookmarkStart w:id="9" w:name="六修订总体特征小结"/>
      <w:r>
        <w:rPr>
          <w:rFonts w:hint="eastAsia" w:ascii="宋体" w:hAnsi="宋体" w:eastAsia="宋体" w:cs="宋体"/>
          <w:color w:val="auto"/>
          <w:sz w:val="24"/>
          <w:szCs w:val="24"/>
        </w:rPr>
        <w:t>六、修订总体特征小结</w:t>
      </w:r>
    </w:p>
    <w:p w14:paraId="75CFEE62">
      <w:pPr>
        <w:pStyle w:val="26"/>
        <w:numPr>
          <w:ilvl w:val="0"/>
          <w:numId w:val="3"/>
        </w:numPr>
        <w:rPr>
          <w:rFonts w:hint="eastAsia" w:ascii="宋体" w:hAnsi="宋体" w:eastAsia="宋体" w:cs="宋体"/>
          <w:color w:val="auto"/>
          <w:sz w:val="24"/>
          <w:szCs w:val="24"/>
        </w:rPr>
      </w:pPr>
      <w:r>
        <w:rPr>
          <w:rFonts w:hint="eastAsia" w:ascii="宋体" w:hAnsi="宋体" w:eastAsia="宋体" w:cs="宋体"/>
          <w:b/>
          <w:bCs/>
          <w:color w:val="auto"/>
          <w:sz w:val="24"/>
          <w:szCs w:val="24"/>
        </w:rPr>
        <w:t>总量与价格双收紧</w:t>
      </w:r>
      <w:r>
        <w:rPr>
          <w:rFonts w:hint="eastAsia" w:ascii="宋体" w:hAnsi="宋体" w:eastAsia="宋体" w:cs="宋体"/>
          <w:color w:val="auto"/>
          <w:sz w:val="24"/>
          <w:szCs w:val="24"/>
        </w:rPr>
        <w:t>：打印机总量上限80%→45%、便携电脑60%→50%、普通复印机10%→8%；台式电脑降500元、便携电脑降1500元、单反相机降5000元、高速复印机降1—2万元。</w:t>
      </w:r>
    </w:p>
    <w:p w14:paraId="3B5D2C33">
      <w:pPr>
        <w:pStyle w:val="26"/>
        <w:numPr>
          <w:ilvl w:val="0"/>
          <w:numId w:val="3"/>
        </w:numPr>
        <w:rPr>
          <w:rFonts w:hint="eastAsia" w:ascii="宋体" w:hAnsi="宋体" w:eastAsia="宋体" w:cs="宋体"/>
          <w:color w:val="auto"/>
          <w:sz w:val="24"/>
          <w:szCs w:val="24"/>
        </w:rPr>
      </w:pPr>
      <w:r>
        <w:rPr>
          <w:rFonts w:hint="eastAsia" w:ascii="宋体" w:hAnsi="宋体" w:eastAsia="宋体" w:cs="宋体"/>
          <w:b/>
          <w:bCs/>
          <w:color w:val="auto"/>
          <w:sz w:val="24"/>
          <w:szCs w:val="24"/>
        </w:rPr>
        <w:t>使用年限普遍延长</w:t>
      </w:r>
      <w:r>
        <w:rPr>
          <w:rFonts w:hint="eastAsia" w:ascii="宋体" w:hAnsi="宋体" w:eastAsia="宋体" w:cs="宋体"/>
          <w:color w:val="auto"/>
          <w:sz w:val="24"/>
          <w:szCs w:val="24"/>
        </w:rPr>
        <w:t>：计算机、打印机、复印机、扫描仪、传真机等主力设</w:t>
      </w:r>
      <w:bookmarkStart w:id="11" w:name="_GoBack"/>
      <w:bookmarkEnd w:id="11"/>
      <w:r>
        <w:rPr>
          <w:rFonts w:hint="eastAsia" w:ascii="宋体" w:hAnsi="宋体" w:eastAsia="宋体" w:cs="宋体"/>
          <w:color w:val="auto"/>
          <w:sz w:val="24"/>
          <w:szCs w:val="24"/>
        </w:rPr>
        <w:t>备最低使用年限由6年提高至7年（复印机保留”或复印30万张”双口径）。</w:t>
      </w:r>
    </w:p>
    <w:p w14:paraId="2E0EEA4C">
      <w:pPr>
        <w:pStyle w:val="26"/>
        <w:numPr>
          <w:ilvl w:val="0"/>
          <w:numId w:val="3"/>
        </w:numPr>
        <w:rPr>
          <w:rFonts w:hint="eastAsia" w:ascii="宋体" w:hAnsi="宋体" w:eastAsia="宋体" w:cs="宋体"/>
          <w:color w:val="auto"/>
          <w:sz w:val="24"/>
          <w:szCs w:val="24"/>
        </w:rPr>
      </w:pPr>
      <w:r>
        <w:rPr>
          <w:rFonts w:hint="eastAsia" w:ascii="宋体" w:hAnsi="宋体" w:eastAsia="宋体" w:cs="宋体"/>
          <w:b/>
          <w:bCs/>
          <w:color w:val="auto"/>
          <w:sz w:val="24"/>
          <w:szCs w:val="24"/>
        </w:rPr>
        <w:t>品目结构更新</w:t>
      </w:r>
      <w:r>
        <w:rPr>
          <w:rFonts w:hint="eastAsia" w:ascii="宋体" w:hAnsi="宋体" w:eastAsia="宋体" w:cs="宋体"/>
          <w:color w:val="auto"/>
          <w:sz w:val="24"/>
          <w:szCs w:val="24"/>
        </w:rPr>
        <w:t>：设备由11类（含兜底）扩至13类、家具由12类扩至15类，共28种资产；新增平板电脑、数码摄影机/手持云台、录音笔、会议室音响、便携式打印机、光盘粉碎机、更衣柜、单人折叠椅、接待室家具等，取消”其他办公设备”兜底品目。</w:t>
      </w:r>
    </w:p>
    <w:p w14:paraId="6E7DF218">
      <w:pPr>
        <w:pStyle w:val="26"/>
        <w:numPr>
          <w:ilvl w:val="0"/>
          <w:numId w:val="3"/>
        </w:numPr>
        <w:rPr>
          <w:rFonts w:hint="eastAsia" w:ascii="宋体" w:hAnsi="宋体" w:eastAsia="宋体" w:cs="宋体"/>
          <w:color w:val="auto"/>
          <w:sz w:val="24"/>
          <w:szCs w:val="24"/>
        </w:rPr>
      </w:pPr>
      <w:r>
        <w:rPr>
          <w:rFonts w:hint="eastAsia" w:ascii="宋体" w:hAnsi="宋体" w:eastAsia="宋体" w:cs="宋体"/>
          <w:b/>
          <w:bCs/>
          <w:color w:val="auto"/>
          <w:sz w:val="24"/>
          <w:szCs w:val="24"/>
        </w:rPr>
        <w:t>管理链条闭环</w:t>
      </w:r>
      <w:r>
        <w:rPr>
          <w:rFonts w:hint="eastAsia" w:ascii="宋体" w:hAnsi="宋体" w:eastAsia="宋体" w:cs="宋体"/>
          <w:color w:val="auto"/>
          <w:sz w:val="24"/>
          <w:szCs w:val="24"/>
        </w:rPr>
        <w:t>：与预算管理、政府采购、资产处置衔接更紧，突出调剂优先、以存量控增量、未经批准一律不得采购。</w:t>
      </w:r>
    </w:p>
    <w:p w14:paraId="1C01D7DE">
      <w:pPr>
        <w:pStyle w:val="26"/>
        <w:numPr>
          <w:ilvl w:val="0"/>
          <w:numId w:val="3"/>
        </w:numPr>
        <w:rPr>
          <w:rFonts w:hint="eastAsia" w:ascii="宋体" w:hAnsi="宋体" w:eastAsia="宋体" w:cs="宋体"/>
          <w:color w:val="auto"/>
          <w:sz w:val="24"/>
          <w:szCs w:val="24"/>
        </w:rPr>
      </w:pPr>
      <w:r>
        <w:rPr>
          <w:rFonts w:hint="eastAsia" w:ascii="宋体" w:hAnsi="宋体" w:eastAsia="宋体" w:cs="宋体"/>
          <w:b/>
          <w:bCs/>
          <w:color w:val="auto"/>
          <w:sz w:val="24"/>
          <w:szCs w:val="24"/>
        </w:rPr>
        <w:t>信创与绿色导向</w:t>
      </w:r>
      <w:r>
        <w:rPr>
          <w:rFonts w:hint="eastAsia" w:ascii="宋体" w:hAnsi="宋体" w:eastAsia="宋体" w:cs="宋体"/>
          <w:color w:val="auto"/>
          <w:sz w:val="24"/>
          <w:szCs w:val="24"/>
        </w:rPr>
        <w:t>：品目明确涵盖信创工程设备；设备要求稳定兼容、能耗低、维修便利，原则上不得配置高端设备。</w:t>
      </w:r>
      <w:bookmarkStart w:id="10" w:name="数据来源"/>
    </w:p>
    <w:bookmarkEnd w:id="0"/>
    <w:bookmarkEnd w:id="9"/>
    <w:bookmarkEnd w:id="10"/>
    <w:sectPr>
      <w:footerReference r:id="rId4" w:type="default"/>
      <w:footnotePr>
        <w:numRestart w:val="eachSect"/>
      </w:footnotePr>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egoe UI"/>
    <w:panose1 w:val="020B0004020202020204"/>
    <w:charset w:val="00"/>
    <w:family w:val="swiss"/>
    <w:pitch w:val="default"/>
    <w:sig w:usb0="00000000" w:usb1="00000000" w:usb2="00000000" w:usb3="00000000" w:csb0="0000019F" w:csb1="00000000"/>
  </w:font>
  <w:font w:name="等线">
    <w:panose1 w:val="02010600030101010101"/>
    <w:charset w:val="86"/>
    <w:family w:val="auto"/>
    <w:pitch w:val="default"/>
    <w:sig w:usb0="A00002BF" w:usb1="38CF7CFA" w:usb2="00000016" w:usb3="00000000" w:csb0="0004000F" w:csb1="00000000"/>
  </w:font>
  <w:font w:name="Aptos Display">
    <w:altName w:val="Segoe UI"/>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7D490">
    <w:pPr>
      <w:pStyle w:val="16"/>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32D38D6">
                <w:pPr>
                  <w:pStyle w:val="1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lvl>
    <w:lvl w:ilvl="1" w:tentative="0">
      <w:start w:val="0"/>
      <w:numFmt w:val="bullet"/>
      <w:lvlText w:val="◦"/>
      <w:lvlJc w:val="left"/>
      <w:pPr>
        <w:ind w:left="1440" w:hanging="360"/>
      </w:pPr>
    </w:lvl>
    <w:lvl w:ilvl="2" w:tentative="0">
      <w:start w:val="0"/>
      <w:numFmt w:val="bullet"/>
      <w:lvlText w:val="▪"/>
      <w:lvlJc w:val="left"/>
      <w:pPr>
        <w:ind w:left="2160" w:hanging="360"/>
      </w:pPr>
    </w:lvl>
    <w:lvl w:ilvl="3" w:tentative="0">
      <w:start w:val="0"/>
      <w:numFmt w:val="bullet"/>
      <w:lvlText w:val="•"/>
      <w:lvlJc w:val="left"/>
      <w:pPr>
        <w:ind w:left="2880" w:hanging="360"/>
      </w:pPr>
    </w:lvl>
    <w:lvl w:ilvl="4" w:tentative="0">
      <w:start w:val="0"/>
      <w:numFmt w:val="bullet"/>
      <w:lvlText w:val="◦"/>
      <w:lvlJc w:val="left"/>
      <w:pPr>
        <w:ind w:left="3600" w:hanging="360"/>
      </w:pPr>
    </w:lvl>
    <w:lvl w:ilvl="5" w:tentative="0">
      <w:start w:val="0"/>
      <w:numFmt w:val="bullet"/>
      <w:lvlText w:val="▪"/>
      <w:lvlJc w:val="left"/>
      <w:pPr>
        <w:ind w:left="4320" w:hanging="360"/>
      </w:pPr>
    </w:lvl>
    <w:lvl w:ilvl="6" w:tentative="0">
      <w:start w:val="0"/>
      <w:numFmt w:val="bullet"/>
      <w:lvlText w:val="•"/>
      <w:lvlJc w:val="left"/>
      <w:pPr>
        <w:ind w:left="5040" w:hanging="360"/>
      </w:pPr>
    </w:lvl>
    <w:lvl w:ilvl="7" w:tentative="0">
      <w:start w:val="0"/>
      <w:numFmt w:val="bullet"/>
      <w:lvlText w:val="◦"/>
      <w:lvlJc w:val="left"/>
      <w:pPr>
        <w:ind w:left="5760" w:hanging="360"/>
      </w:pPr>
    </w:lvl>
    <w:lvl w:ilvl="8" w:tentative="0">
      <w:start w:val="0"/>
      <w:numFmt w:val="bullet"/>
      <w:lvlText w:val="▪"/>
      <w:lvlJc w:val="left"/>
      <w:pPr>
        <w:ind w:left="6480" w:hanging="360"/>
      </w:pPr>
    </w:lvl>
  </w:abstractNum>
  <w:abstractNum w:abstractNumId="1">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hdrShapeDefaults>
    <o:shapelayout v:ext="edit">
      <o:idmap v:ext="edit" data="2"/>
    </o:shapelayout>
  </w:hdrShapeDefaults>
  <w:footnotePr>
    <w:numRestart w:val="eachSect"/>
    <w:footnote w:id="0"/>
    <w:footnote w:id="1"/>
  </w:footnotePr>
  <w:compat>
    <w:useFELayout/>
    <w:splitPgBreakAndParaMark/>
    <w:compatSetting w:name="compatibilityMode" w:uri="http://schemas.microsoft.com/office/word" w:val="12"/>
  </w:compat>
  <w:rsids>
    <w:rsidRoot w:val="00000000"/>
    <w:rsid w:val="02584D78"/>
    <w:rsid w:val="2E932CFE"/>
    <w:rsid w:val="375168B8"/>
    <w:rsid w:val="485B0D96"/>
    <w:rsid w:val="53B55B42"/>
    <w:rsid w:val="5EFC24D1"/>
    <w:rsid w:val="766F3739"/>
    <w:rsid w:val="78AF4E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EastAsia" w:cstheme="minorBidi"/>
      <w:sz w:val="24"/>
      <w:szCs w:val="24"/>
      <w:lang w:val="en-US" w:eastAsia="zh-CN" w:bidi="ar-SA"/>
    </w:rPr>
  </w:style>
  <w:style w:type="paragraph" w:styleId="2">
    <w:name w:val="heading 1"/>
    <w:basedOn w:val="1"/>
    <w:next w:val="3"/>
    <w:link w:val="33"/>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4"/>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5"/>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6"/>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7"/>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8"/>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9"/>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0"/>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1"/>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1">
    <w:name w:val="Default Paragraph Font"/>
    <w:semiHidden/>
    <w:unhideWhenUsed/>
    <w:uiPriority w:val="0"/>
  </w:style>
  <w:style w:type="table" w:default="1" w:styleId="20">
    <w:name w:val="Normal Table"/>
    <w:uiPriority w:val="0"/>
    <w:tblPr>
      <w:tblCellMar>
        <w:top w:w="0" w:type="dxa"/>
        <w:left w:w="108" w:type="dxa"/>
        <w:bottom w:w="0" w:type="dxa"/>
        <w:right w:w="108" w:type="dxa"/>
      </w:tblCellMar>
    </w:tblPr>
  </w:style>
  <w:style w:type="paragraph" w:styleId="3">
    <w:name w:val="Body Text"/>
    <w:basedOn w:val="1"/>
    <w:link w:val="23"/>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7"/>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footer"/>
    <w:basedOn w:val="1"/>
    <w:uiPriority w:val="0"/>
    <w:pPr>
      <w:tabs>
        <w:tab w:val="center" w:pos="4153"/>
        <w:tab w:val="right" w:pos="8306"/>
      </w:tabs>
      <w:snapToGrid w:val="0"/>
      <w:jc w:val="left"/>
    </w:pPr>
    <w:rPr>
      <w:sz w:val="18"/>
    </w:rPr>
  </w:style>
  <w:style w:type="paragraph" w:styleId="1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Subtitle"/>
    <w:basedOn w:val="15"/>
    <w:next w:val="3"/>
    <w:link w:val="28"/>
    <w:qFormat/>
    <w:uiPriority w:val="11"/>
    <w:rPr>
      <w:rFonts w:eastAsiaTheme="majorEastAsia" w:cstheme="majorBidi"/>
      <w:spacing w:val="15"/>
      <w:sz w:val="28"/>
      <w:szCs w:val="28"/>
    </w:rPr>
  </w:style>
  <w:style w:type="paragraph" w:styleId="19">
    <w:name w:val="footnote text"/>
    <w:basedOn w:val="1"/>
    <w:unhideWhenUsed/>
    <w:qFormat/>
    <w:uiPriority w:val="9"/>
  </w:style>
  <w:style w:type="character" w:styleId="22">
    <w:name w:val="Hyperlink"/>
    <w:basedOn w:val="23"/>
    <w:qFormat/>
    <w:uiPriority w:val="0"/>
    <w:rPr>
      <w:color w:val="156082" w:themeColor="accent1"/>
    </w:rPr>
  </w:style>
  <w:style w:type="character" w:customStyle="1" w:styleId="23">
    <w:name w:val="Body Text Char"/>
    <w:basedOn w:val="21"/>
    <w:link w:val="3"/>
    <w:qFormat/>
    <w:uiPriority w:val="0"/>
  </w:style>
  <w:style w:type="character" w:styleId="24">
    <w:name w:val="footnote reference"/>
    <w:basedOn w:val="23"/>
    <w:qFormat/>
    <w:uiPriority w:val="0"/>
    <w:rPr>
      <w:vertAlign w:val="superscript"/>
    </w:rPr>
  </w:style>
  <w:style w:type="paragraph" w:customStyle="1" w:styleId="25">
    <w:name w:val="First Paragraph"/>
    <w:basedOn w:val="3"/>
    <w:next w:val="3"/>
    <w:qFormat/>
    <w:uiPriority w:val="0"/>
  </w:style>
  <w:style w:type="paragraph" w:customStyle="1" w:styleId="26">
    <w:name w:val="Compact"/>
    <w:basedOn w:val="3"/>
    <w:qFormat/>
    <w:uiPriority w:val="0"/>
    <w:pPr>
      <w:spacing w:before="36" w:after="36"/>
    </w:pPr>
  </w:style>
  <w:style w:type="character" w:customStyle="1" w:styleId="27">
    <w:name w:val="Title Char"/>
    <w:basedOn w:val="21"/>
    <w:link w:val="15"/>
    <w:uiPriority w:val="10"/>
    <w:rPr>
      <w:rFonts w:asciiTheme="majorHAnsi" w:hAnsiTheme="majorHAnsi" w:eastAsiaTheme="majorEastAsia" w:cstheme="majorBidi"/>
      <w:sz w:val="56"/>
      <w:szCs w:val="56"/>
    </w:rPr>
  </w:style>
  <w:style w:type="character" w:customStyle="1" w:styleId="28">
    <w:name w:val="Subtitle Char"/>
    <w:basedOn w:val="21"/>
    <w:link w:val="18"/>
    <w:uiPriority w:val="11"/>
    <w:rPr>
      <w:rFonts w:eastAsiaTheme="majorEastAsia" w:cstheme="majorBidi"/>
      <w:color w:val="585858" w:themeColor="text1" w:themeTint="A6"/>
      <w:spacing w:val="15"/>
      <w:sz w:val="28"/>
      <w:szCs w:val="28"/>
    </w:rPr>
  </w:style>
  <w:style w:type="paragraph" w:customStyle="1" w:styleId="29">
    <w:name w:val="Author"/>
    <w:basedOn w:val="15"/>
    <w:next w:val="3"/>
    <w:qFormat/>
    <w:uiPriority w:val="0"/>
    <w:pPr>
      <w:keepNext/>
      <w:keepLines/>
    </w:pPr>
    <w:rPr>
      <w:sz w:val="24"/>
      <w:szCs w:val="24"/>
    </w:rPr>
  </w:style>
  <w:style w:type="paragraph" w:customStyle="1" w:styleId="30">
    <w:name w:val="Abstract Title"/>
    <w:basedOn w:val="1"/>
    <w:next w:val="31"/>
    <w:qFormat/>
    <w:uiPriority w:val="0"/>
    <w:pPr>
      <w:keepNext/>
      <w:keepLines/>
      <w:spacing w:before="300" w:after="0"/>
      <w:jc w:val="center"/>
    </w:pPr>
    <w:rPr>
      <w:b/>
      <w:sz w:val="20"/>
      <w:szCs w:val="20"/>
    </w:rPr>
  </w:style>
  <w:style w:type="paragraph" w:customStyle="1" w:styleId="31">
    <w:name w:val="Abstract"/>
    <w:basedOn w:val="1"/>
    <w:next w:val="3"/>
    <w:qFormat/>
    <w:uiPriority w:val="0"/>
    <w:pPr>
      <w:keepNext/>
      <w:keepLines/>
      <w:spacing w:before="100" w:after="300"/>
    </w:pPr>
    <w:rPr>
      <w:sz w:val="20"/>
      <w:szCs w:val="20"/>
    </w:rPr>
  </w:style>
  <w:style w:type="paragraph" w:customStyle="1" w:styleId="32">
    <w:name w:val="Bibliography"/>
    <w:basedOn w:val="1"/>
    <w:qFormat/>
    <w:uiPriority w:val="0"/>
  </w:style>
  <w:style w:type="character" w:customStyle="1" w:styleId="33">
    <w:name w:val="Heading 1 Char"/>
    <w:basedOn w:val="21"/>
    <w:link w:val="2"/>
    <w:qFormat/>
    <w:uiPriority w:val="9"/>
    <w:rPr>
      <w:rFonts w:asciiTheme="majorHAnsi" w:hAnsiTheme="majorHAnsi" w:eastAsiaTheme="majorEastAsia" w:cstheme="majorBidi"/>
      <w:color w:val="0F4761" w:themeColor="accent1" w:themeShade="BF"/>
      <w:sz w:val="40"/>
      <w:szCs w:val="40"/>
    </w:rPr>
  </w:style>
  <w:style w:type="character" w:customStyle="1" w:styleId="34">
    <w:name w:val="Heading 2 Char"/>
    <w:basedOn w:val="21"/>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5">
    <w:name w:val="Heading 3 Char"/>
    <w:basedOn w:val="21"/>
    <w:link w:val="5"/>
    <w:semiHidden/>
    <w:uiPriority w:val="9"/>
    <w:rPr>
      <w:rFonts w:eastAsiaTheme="majorEastAsia" w:cstheme="majorBidi"/>
      <w:color w:val="0F4761" w:themeColor="accent1" w:themeShade="BF"/>
      <w:sz w:val="28"/>
      <w:szCs w:val="28"/>
    </w:rPr>
  </w:style>
  <w:style w:type="character" w:customStyle="1" w:styleId="36">
    <w:name w:val="Heading 4 Char"/>
    <w:basedOn w:val="21"/>
    <w:link w:val="6"/>
    <w:semiHidden/>
    <w:qFormat/>
    <w:uiPriority w:val="9"/>
    <w:rPr>
      <w:rFonts w:eastAsiaTheme="majorEastAsia" w:cstheme="majorBidi"/>
      <w:i/>
      <w:iCs/>
      <w:color w:val="0F4761" w:themeColor="accent1" w:themeShade="BF"/>
    </w:rPr>
  </w:style>
  <w:style w:type="character" w:customStyle="1" w:styleId="37">
    <w:name w:val="Heading 5 Char"/>
    <w:basedOn w:val="21"/>
    <w:link w:val="7"/>
    <w:semiHidden/>
    <w:uiPriority w:val="9"/>
    <w:rPr>
      <w:rFonts w:eastAsiaTheme="majorEastAsia" w:cstheme="majorBidi"/>
      <w:color w:val="0F4761" w:themeColor="accent1" w:themeShade="BF"/>
    </w:rPr>
  </w:style>
  <w:style w:type="character" w:customStyle="1" w:styleId="38">
    <w:name w:val="Heading 6 Char"/>
    <w:basedOn w:val="21"/>
    <w:link w:val="8"/>
    <w:semiHidden/>
    <w:qFormat/>
    <w:uiPriority w:val="9"/>
    <w:rPr>
      <w:rFonts w:eastAsiaTheme="majorEastAsia" w:cstheme="majorBidi"/>
      <w:i/>
      <w:iCs/>
      <w:color w:val="585858" w:themeColor="text1" w:themeTint="A6"/>
    </w:rPr>
  </w:style>
  <w:style w:type="character" w:customStyle="1" w:styleId="39">
    <w:name w:val="Heading 7 Char"/>
    <w:basedOn w:val="21"/>
    <w:link w:val="9"/>
    <w:semiHidden/>
    <w:qFormat/>
    <w:uiPriority w:val="9"/>
    <w:rPr>
      <w:rFonts w:eastAsiaTheme="majorEastAsia" w:cstheme="majorBidi"/>
      <w:color w:val="585858" w:themeColor="text1" w:themeTint="A6"/>
    </w:rPr>
  </w:style>
  <w:style w:type="character" w:customStyle="1" w:styleId="40">
    <w:name w:val="Heading 8 Char"/>
    <w:basedOn w:val="21"/>
    <w:link w:val="10"/>
    <w:semiHidden/>
    <w:qFormat/>
    <w:uiPriority w:val="9"/>
    <w:rPr>
      <w:rFonts w:eastAsiaTheme="majorEastAsia" w:cstheme="majorBidi"/>
      <w:i/>
      <w:iCs/>
      <w:color w:val="262626" w:themeColor="text1" w:themeTint="D8"/>
    </w:rPr>
  </w:style>
  <w:style w:type="character" w:customStyle="1" w:styleId="41">
    <w:name w:val="Heading 9 Char"/>
    <w:basedOn w:val="21"/>
    <w:link w:val="11"/>
    <w:semiHidden/>
    <w:uiPriority w:val="9"/>
    <w:rPr>
      <w:rFonts w:eastAsiaTheme="majorEastAsia" w:cstheme="majorBidi"/>
      <w:color w:val="262626" w:themeColor="text1" w:themeTint="D8"/>
    </w:rPr>
  </w:style>
  <w:style w:type="paragraph" w:customStyle="1" w:styleId="42">
    <w:name w:val="Footnote Block Text"/>
    <w:basedOn w:val="19"/>
    <w:next w:val="19"/>
    <w:unhideWhenUsed/>
    <w:qFormat/>
    <w:uiPriority w:val="9"/>
    <w:pPr>
      <w:spacing w:before="100" w:after="100"/>
      <w:ind w:left="480" w:right="480" w:firstLine="0"/>
    </w:pPr>
  </w:style>
  <w:style w:type="table" w:customStyle="1" w:styleId="43">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4">
    <w:name w:val="Definition Term"/>
    <w:basedOn w:val="1"/>
    <w:next w:val="45"/>
    <w:qFormat/>
    <w:uiPriority w:val="0"/>
    <w:pPr>
      <w:keepNext/>
      <w:keepLines/>
      <w:spacing w:after="0"/>
    </w:pPr>
    <w:rPr>
      <w:b/>
    </w:rPr>
  </w:style>
  <w:style w:type="paragraph" w:customStyle="1" w:styleId="45">
    <w:name w:val="Definition"/>
    <w:basedOn w:val="1"/>
    <w:uiPriority w:val="0"/>
  </w:style>
  <w:style w:type="paragraph" w:customStyle="1" w:styleId="46">
    <w:name w:val="Table Caption"/>
    <w:basedOn w:val="12"/>
    <w:uiPriority w:val="0"/>
    <w:pPr>
      <w:keepNext/>
    </w:pPr>
  </w:style>
  <w:style w:type="paragraph" w:customStyle="1" w:styleId="47">
    <w:name w:val="Image Caption"/>
    <w:basedOn w:val="12"/>
    <w:qFormat/>
    <w:uiPriority w:val="0"/>
  </w:style>
  <w:style w:type="paragraph" w:customStyle="1" w:styleId="48">
    <w:name w:val="Figure"/>
    <w:basedOn w:val="1"/>
    <w:qFormat/>
    <w:uiPriority w:val="0"/>
  </w:style>
  <w:style w:type="paragraph" w:customStyle="1" w:styleId="49">
    <w:name w:val="Captioned Figure"/>
    <w:basedOn w:val="48"/>
    <w:qFormat/>
    <w:uiPriority w:val="0"/>
    <w:pPr>
      <w:keepNext/>
    </w:pPr>
  </w:style>
  <w:style w:type="character" w:customStyle="1" w:styleId="50">
    <w:name w:val="Verbatim Char"/>
    <w:basedOn w:val="23"/>
    <w:link w:val="51"/>
    <w:qFormat/>
    <w:uiPriority w:val="0"/>
    <w:rPr>
      <w:rFonts w:ascii="Consolas" w:hAnsi="Consolas"/>
      <w:sz w:val="22"/>
    </w:rPr>
  </w:style>
  <w:style w:type="paragraph" w:customStyle="1" w:styleId="51">
    <w:name w:val="Source Code"/>
    <w:basedOn w:val="1"/>
    <w:link w:val="50"/>
    <w:qFormat/>
    <w:uiPriority w:val="0"/>
    <w:pPr>
      <w:wordWrap w:val="0"/>
    </w:pPr>
  </w:style>
  <w:style w:type="character" w:customStyle="1" w:styleId="52">
    <w:name w:val="Section Number"/>
    <w:basedOn w:val="23"/>
    <w:qFormat/>
    <w:uiPriority w:val="0"/>
  </w:style>
  <w:style w:type="paragraph" w:customStyle="1" w:styleId="53">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4">
    <w:name w:val="KeywordTok"/>
    <w:basedOn w:val="50"/>
    <w:uiPriority w:val="0"/>
    <w:rPr>
      <w:b/>
      <w:color w:val="007020"/>
    </w:rPr>
  </w:style>
  <w:style w:type="character" w:customStyle="1" w:styleId="55">
    <w:name w:val="DataTypeTok"/>
    <w:basedOn w:val="50"/>
    <w:uiPriority w:val="0"/>
    <w:rPr>
      <w:color w:val="902000"/>
    </w:rPr>
  </w:style>
  <w:style w:type="character" w:customStyle="1" w:styleId="56">
    <w:name w:val="DecValTok"/>
    <w:basedOn w:val="50"/>
    <w:uiPriority w:val="0"/>
    <w:rPr>
      <w:color w:val="40A070"/>
    </w:rPr>
  </w:style>
  <w:style w:type="character" w:customStyle="1" w:styleId="57">
    <w:name w:val="BaseNTok"/>
    <w:basedOn w:val="50"/>
    <w:uiPriority w:val="0"/>
    <w:rPr>
      <w:color w:val="40A070"/>
    </w:rPr>
  </w:style>
  <w:style w:type="character" w:customStyle="1" w:styleId="58">
    <w:name w:val="FloatTok"/>
    <w:basedOn w:val="50"/>
    <w:qFormat/>
    <w:uiPriority w:val="0"/>
    <w:rPr>
      <w:color w:val="40A070"/>
    </w:rPr>
  </w:style>
  <w:style w:type="character" w:customStyle="1" w:styleId="59">
    <w:name w:val="ConstantTok"/>
    <w:basedOn w:val="50"/>
    <w:uiPriority w:val="0"/>
    <w:rPr>
      <w:color w:val="880000"/>
    </w:rPr>
  </w:style>
  <w:style w:type="character" w:customStyle="1" w:styleId="60">
    <w:name w:val="CharTok"/>
    <w:basedOn w:val="50"/>
    <w:uiPriority w:val="0"/>
    <w:rPr>
      <w:color w:val="4070A0"/>
    </w:rPr>
  </w:style>
  <w:style w:type="character" w:customStyle="1" w:styleId="61">
    <w:name w:val="SpecialCharTok"/>
    <w:basedOn w:val="50"/>
    <w:uiPriority w:val="0"/>
    <w:rPr>
      <w:color w:val="4070A0"/>
    </w:rPr>
  </w:style>
  <w:style w:type="character" w:customStyle="1" w:styleId="62">
    <w:name w:val="StringTok"/>
    <w:basedOn w:val="50"/>
    <w:qFormat/>
    <w:uiPriority w:val="0"/>
    <w:rPr>
      <w:color w:val="4070A0"/>
    </w:rPr>
  </w:style>
  <w:style w:type="character" w:customStyle="1" w:styleId="63">
    <w:name w:val="VerbatimStringTok"/>
    <w:basedOn w:val="50"/>
    <w:uiPriority w:val="0"/>
    <w:rPr>
      <w:color w:val="4070A0"/>
    </w:rPr>
  </w:style>
  <w:style w:type="character" w:customStyle="1" w:styleId="64">
    <w:name w:val="SpecialStringTok"/>
    <w:basedOn w:val="50"/>
    <w:uiPriority w:val="0"/>
    <w:rPr>
      <w:color w:val="BB6688"/>
    </w:rPr>
  </w:style>
  <w:style w:type="character" w:customStyle="1" w:styleId="65">
    <w:name w:val="ImportTok"/>
    <w:basedOn w:val="50"/>
    <w:uiPriority w:val="0"/>
    <w:rPr>
      <w:b/>
      <w:color w:val="008000"/>
    </w:rPr>
  </w:style>
  <w:style w:type="character" w:customStyle="1" w:styleId="66">
    <w:name w:val="CommentTok"/>
    <w:basedOn w:val="50"/>
    <w:uiPriority w:val="0"/>
    <w:rPr>
      <w:i/>
      <w:color w:val="60A0B0"/>
    </w:rPr>
  </w:style>
  <w:style w:type="character" w:customStyle="1" w:styleId="67">
    <w:name w:val="DocumentationTok"/>
    <w:basedOn w:val="50"/>
    <w:uiPriority w:val="0"/>
    <w:rPr>
      <w:i/>
      <w:color w:val="BA2121"/>
    </w:rPr>
  </w:style>
  <w:style w:type="character" w:customStyle="1" w:styleId="68">
    <w:name w:val="AnnotationTok"/>
    <w:basedOn w:val="50"/>
    <w:qFormat/>
    <w:uiPriority w:val="0"/>
    <w:rPr>
      <w:b/>
      <w:i/>
      <w:color w:val="60A0B0"/>
    </w:rPr>
  </w:style>
  <w:style w:type="character" w:customStyle="1" w:styleId="69">
    <w:name w:val="CommentVarTok"/>
    <w:basedOn w:val="50"/>
    <w:uiPriority w:val="0"/>
    <w:rPr>
      <w:b/>
      <w:i/>
      <w:color w:val="60A0B0"/>
    </w:rPr>
  </w:style>
  <w:style w:type="character" w:customStyle="1" w:styleId="70">
    <w:name w:val="OtherTok"/>
    <w:basedOn w:val="50"/>
    <w:uiPriority w:val="0"/>
    <w:rPr>
      <w:color w:val="007020"/>
    </w:rPr>
  </w:style>
  <w:style w:type="character" w:customStyle="1" w:styleId="71">
    <w:name w:val="FunctionTok"/>
    <w:basedOn w:val="50"/>
    <w:uiPriority w:val="0"/>
    <w:rPr>
      <w:color w:val="06287E"/>
    </w:rPr>
  </w:style>
  <w:style w:type="character" w:customStyle="1" w:styleId="72">
    <w:name w:val="VariableTok"/>
    <w:basedOn w:val="50"/>
    <w:uiPriority w:val="0"/>
    <w:rPr>
      <w:color w:val="19177C"/>
    </w:rPr>
  </w:style>
  <w:style w:type="character" w:customStyle="1" w:styleId="73">
    <w:name w:val="ControlFlowTok"/>
    <w:basedOn w:val="50"/>
    <w:qFormat/>
    <w:uiPriority w:val="0"/>
    <w:rPr>
      <w:b/>
      <w:color w:val="007020"/>
    </w:rPr>
  </w:style>
  <w:style w:type="character" w:customStyle="1" w:styleId="74">
    <w:name w:val="OperatorTok"/>
    <w:basedOn w:val="50"/>
    <w:uiPriority w:val="0"/>
    <w:rPr>
      <w:color w:val="666666"/>
    </w:rPr>
  </w:style>
  <w:style w:type="character" w:customStyle="1" w:styleId="75">
    <w:name w:val="BuiltInTok"/>
    <w:basedOn w:val="50"/>
    <w:uiPriority w:val="0"/>
    <w:rPr>
      <w:color w:val="008000"/>
    </w:rPr>
  </w:style>
  <w:style w:type="character" w:customStyle="1" w:styleId="76">
    <w:name w:val="ExtensionTok"/>
    <w:basedOn w:val="50"/>
    <w:qFormat/>
    <w:uiPriority w:val="0"/>
  </w:style>
  <w:style w:type="character" w:customStyle="1" w:styleId="77">
    <w:name w:val="PreprocessorTok"/>
    <w:basedOn w:val="50"/>
    <w:qFormat/>
    <w:uiPriority w:val="0"/>
    <w:rPr>
      <w:color w:val="BC7A00"/>
    </w:rPr>
  </w:style>
  <w:style w:type="character" w:customStyle="1" w:styleId="78">
    <w:name w:val="AttributeTok"/>
    <w:basedOn w:val="50"/>
    <w:uiPriority w:val="0"/>
    <w:rPr>
      <w:color w:val="7D9029"/>
    </w:rPr>
  </w:style>
  <w:style w:type="character" w:customStyle="1" w:styleId="79">
    <w:name w:val="RegionMarkerTok"/>
    <w:basedOn w:val="50"/>
    <w:qFormat/>
    <w:uiPriority w:val="0"/>
  </w:style>
  <w:style w:type="character" w:customStyle="1" w:styleId="80">
    <w:name w:val="InformationTok"/>
    <w:basedOn w:val="50"/>
    <w:qFormat/>
    <w:uiPriority w:val="0"/>
    <w:rPr>
      <w:b/>
      <w:i/>
      <w:color w:val="60A0B0"/>
    </w:rPr>
  </w:style>
  <w:style w:type="character" w:customStyle="1" w:styleId="81">
    <w:name w:val="WarningTok"/>
    <w:basedOn w:val="50"/>
    <w:uiPriority w:val="0"/>
    <w:rPr>
      <w:b/>
      <w:i/>
      <w:color w:val="60A0B0"/>
    </w:rPr>
  </w:style>
  <w:style w:type="character" w:customStyle="1" w:styleId="82">
    <w:name w:val="AlertTok"/>
    <w:basedOn w:val="50"/>
    <w:uiPriority w:val="0"/>
    <w:rPr>
      <w:b/>
      <w:color w:val="FF0000"/>
    </w:rPr>
  </w:style>
  <w:style w:type="character" w:customStyle="1" w:styleId="83">
    <w:name w:val="ErrorTok"/>
    <w:basedOn w:val="50"/>
    <w:qFormat/>
    <w:uiPriority w:val="0"/>
    <w:rPr>
      <w:b/>
      <w:color w:val="FF0000"/>
    </w:rPr>
  </w:style>
  <w:style w:type="character" w:customStyle="1" w:styleId="84">
    <w:name w:val="NormalTok"/>
    <w:basedOn w:val="50"/>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2679</Words>
  <Characters>3047</Characters>
  <Lines>12</Lines>
  <Paragraphs>8</Paragraphs>
  <TotalTime>27</TotalTime>
  <ScaleCrop>false</ScaleCrop>
  <LinksUpToDate>false</LinksUpToDate>
  <CharactersWithSpaces>3049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2026-10-12T08:22:00Z</dcterms:created>
  <dc:creator>''</dc:creator>
  <cp:lastModifiedBy>''</cp:lastModifiedBy>
  <dcterms:modified xsi:type="dcterms:W3CDTF">2026-10-13T08:45:36Z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eyJoZGlkIjoiMzBiODgyZTI1OTJiMGI5NTYxODI0YmE0N2IwZjBlMmYiLCJ1c2VySWQiOiI2NTM4MjkzMjEifQ==</vt:lpwstr>
  </property>
  <property fmtid="{D5CDD505-2E9C-101B-9397-08002B2CF9AE}" pid="3" name="KSOProductBuildVer">
    <vt:lpwstr>2052-12.1.0.28802</vt:lpwstr>
  </property>
  <property fmtid="{D5CDD505-2E9C-101B-9397-08002B2CF9AE}" pid="4" name="ICV">
    <vt:lpwstr>418C697E3EBA4FB4BD1EB1469E6FB7A3_12</vt:lpwstr>
  </property>
</Properties>
</file>